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venir Next" w:hAnsi="Avenir Next"/>
          <w:b/>
          <w:color w:val="2C5282"/>
          <w:sz w:val="19"/>
        </w:rPr>
        <w:t>MARKET RESEARCH | COMPETITIVE INTELLIGENCE | AI WORKFLOW EXECUTION</w:t>
      </w:r>
    </w:p>
    <w:p>
      <w:pPr>
        <w:spacing w:after="80"/>
        <w:jc w:val="left"/>
      </w:pPr>
      <w:r>
        <w:rPr>
          <w:rFonts w:ascii="Avenir Next" w:hAnsi="Avenir Next"/>
          <w:b/>
          <w:color w:val="1A2332"/>
          <w:sz w:val="48"/>
        </w:rPr>
        <w:t>Flagship Portfolio Guide</w:t>
      </w:r>
    </w:p>
    <w:p>
      <w:pPr>
        <w:spacing w:after="80"/>
        <w:jc w:val="left"/>
      </w:pPr>
      <w:r>
        <w:rPr>
          <w:rFonts w:ascii="Avenir Next" w:hAnsi="Avenir Next"/>
          <w:b/>
          <w:color w:val="3182CE"/>
          <w:sz w:val="24"/>
        </w:rPr>
        <w:t>Control Dossier for the 3 Hero Cases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4A5568"/>
          <w:sz w:val="19"/>
        </w:rPr>
        <w:t>Santiago Garces Chavarria | santiago.garces.blevine@gmail.com | Medellin, Colombia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C528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PORTFOLIO GUIDE</w:t>
            </w:r>
          </w:p>
        </w:tc>
        <w:tc>
          <w:tcPr>
            <w:tcW w:type="dxa" w:w="5083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9"/>
              </w:rPr>
              <w:t>Canonical guide to the three flagship portfolio cases and the evidence logic that ties them together.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3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flagship cases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2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proof pillars</w:t>
            </w:r>
          </w:p>
        </w:tc>
      </w:tr>
      <w:tr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97%+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workflow accuracy</w:t>
            </w:r>
          </w:p>
        </w:tc>
        <w:tc>
          <w:tcPr>
            <w:tcW w:type="dxa" w:w="5083"/>
            <w:shd w:fill="F7FAFC"/>
          </w:tcPr>
          <w:p>
            <w:pPr>
              <w:jc w:val="left"/>
            </w:pPr>
            <w:r/>
            <w:r>
              <w:rPr>
                <w:rFonts w:ascii="Avenir Next" w:hAnsi="Avenir Next"/>
                <w:b/>
                <w:color w:val="1A2332"/>
                <w:sz w:val="30"/>
              </w:rPr>
              <w:t>12-player</w:t>
            </w:r>
          </w:p>
          <w:p>
            <w:pPr>
              <w:spacing w:before="40"/>
            </w:pPr>
            <w:r>
              <w:rPr>
                <w:rFonts w:ascii="Avenir Next" w:hAnsi="Avenir Next"/>
                <w:color w:val="4A5568"/>
                <w:sz w:val="18"/>
              </w:rPr>
              <w:t>commercial benchmark universe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Executive Summary</w:t>
      </w:r>
    </w:p>
    <w:p>
      <w:pPr>
        <w:spacing w:after="160"/>
        <w:jc w:val="left"/>
      </w:pPr>
      <w:r>
        <w:rPr>
          <w:rFonts w:ascii="Avenir Next" w:hAnsi="Avenir Next"/>
          <w:b w:val="0"/>
          <w:color w:val="1A202C"/>
          <w:sz w:val="21"/>
        </w:rPr>
        <w:t>This portfolio is designed as a proof system, not as a library of unrelated samples. It is organized around three flagship cases. The first case proves operational execution under real constraints in a regulated environment. The second and third cases form a commercial-strategy chain: market structure, benchmark logic, and pricing architecture. Together they show how Santiago moves from messy inputs to structured judgment, and from structured judgment to decision-ready output.</w:t>
      </w:r>
    </w:p>
    <w:p>
      <w:pPr>
        <w:sectPr>
          <w:footerReference w:type="default" r:id="rId9"/>
          <w:pgSz w:w="12240" w:h="15840"/>
          <w:pgMar w:top="1080" w:right="1037" w:bottom="936" w:left="1037" w:header="720" w:footer="720" w:gutter="0"/>
          <w:cols w:space="720"/>
          <w:docGrid w:linePitch="360"/>
        </w:sectPr>
      </w:pPr>
    </w:p>
    <w:p>
      <w:pPr>
        <w:pStyle w:val="Heading1"/>
        <w:spacing w:before="200" w:after="80"/>
      </w:pPr>
      <w:r>
        <w:t>Portfolio Thesis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Santiago's value is clearest when the work requires analytical judgment, written clarity, and disciplined structure under ambiguity.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flagship portfolio therefore focuses on two proof pillars: operational intelligence and commercial intelligence. That is the cleanest way to show both real execution and strategic reasoning without diluting the signal across too many adjacent assets.</w:t>
      </w:r>
    </w:p>
    <w:p>
      <w:pPr>
        <w:pStyle w:val="Heading1"/>
        <w:spacing w:before="200" w:after="80"/>
      </w:pPr>
      <w:r>
        <w:t>The Two Proof Pillars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Proof logic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Pillar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Case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Business question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What it proves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Operational intelligence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01 AI Workflow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Can Santiago design and improve real workflows under control constraints?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Execution, control design, measured impact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Commercial intelligence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02 Commercial Intelligence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Can Santiago convert market noise into a strategy thesis and benchmark logic?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Research depth, competitor framing, positioning judgment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Commercial intelligence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03 Pricing Strategy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Can Santiago translate evidence into monetization design and rollout logic?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Commercial reasoning, packaging, validation design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How the Three Cases Connect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Case 01 stands on its own because it is grounded in anonymized real operating evidence.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Cases 02 and 03 are deliberately linked. Case 02 defines the market structure, competitor logic, and white-space thesis for AI productivity workflows. Case 03 then uses that same market logic to design a pricing and packaging architecture. This turns the commercial portfolio into a sequence rather than three disconnected thought pieces.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Analytical handoff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Asset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Output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Feeds into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1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02 Commercial Intelligence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Market map, competitor universe, buyer logic, white spaces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03 Pricing Strategy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03 Pricing Strategy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Tier architecture, price ladder, validation plan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Commercial discussion or interview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3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Benchmark appendix within 02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Scoring rubric and competitor comparison detail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Supports claims in 02 and 03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Read This First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For recruiters: read this guide, then Case 01, then whichever commercial case matches the role.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For founders or clients: start with Case 01 for operational proof, then Case 02 for commercial framing.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For strategy or pricing conversations: read Case 02 and Case 03 as a pair.</w:t>
      </w:r>
    </w:p>
    <w:p>
      <w:pPr>
        <w:pStyle w:val="Heading1"/>
        <w:spacing w:before="200" w:after="80"/>
      </w:pPr>
      <w:r>
        <w:t>Role-Fit Matrix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portfolio is strongest when the asset sequence matches the question the reader is trying to answer. This matrix is the fastest route from audience type to relevant proof.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Audience-to-asset reading path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Audience or role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Read first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Then read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What becomes credible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AI ops / workflow roles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01 AI Workflow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00 Guide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Workflow redesign, controls, measurable execution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Competitive intelligence / research roles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02 Commercial Intelligence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03 Pricing Strategy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Market framing, benchmark judgment, strategic recommendation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Pricing / monetization roles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03 Pricing Strategy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02 Commercial Intelligence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Packaging logic tied to real market structure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Fintech / regulated-market roles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01 AI Workflow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02 Commercial Intelligence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Judgment under control constraints plus commercial reasoning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Evidence Standards</w:t>
      </w:r>
    </w:p>
    <w:p>
      <w:pPr>
        <w:spacing w:after="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spacing w:after="40"/>
        <w:jc w:val="left"/>
      </w:pPr>
      <w:r>
        <w:rPr>
          <w:rFonts w:ascii="Avenir Next" w:hAnsi="Avenir Next"/>
          <w:b/>
          <w:color w:val="4A5568"/>
          <w:sz w:val="18"/>
        </w:rPr>
        <w:t>What each case includes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Case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Work type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Evidence base</w:t>
            </w:r>
          </w:p>
        </w:tc>
        <w:tc>
          <w:tcPr>
            <w:tcW w:type="dxa" w:w="2541"/>
            <w:shd w:fill="1A2332"/>
            <w:vAlign w:val="center"/>
          </w:tcPr>
          <w:p>
            <w:pPr>
              <w:jc w:val="center"/>
            </w:pPr>
            <w:r/>
            <w:r>
              <w:rPr>
                <w:rFonts w:ascii="Avenir Next" w:hAnsi="Avenir Next"/>
                <w:b/>
                <w:color w:val="FFFFFF"/>
                <w:sz w:val="19"/>
              </w:rPr>
              <w:t>Limits stated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01 AI Workflow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Anonymized real work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Measured before/after metrics, architecture logic, governance rules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No client-identifying data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02 Commercial Intelligence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Self-initiated decision sample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Public pricing, product, review, and competitor signals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Public-source synthesis; no proprietary user data</w:t>
            </w:r>
          </w:p>
        </w:tc>
      </w:tr>
      <w:tr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03 Pricing Strategy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Self-initiated decision sample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Shared market logic plus scenario assumptions and validation design</w:t>
            </w:r>
          </w:p>
        </w:tc>
        <w:tc>
          <w:tcPr>
            <w:tcW w:type="dxa" w:w="2541"/>
            <w:shd w:fill="F7FAFC"/>
            <w:vAlign w:val="center"/>
          </w:tcPr>
          <w:p>
            <w:pPr>
              <w:jc w:val="left"/>
            </w:pPr>
            <w:r/>
            <w:r>
              <w:rPr>
                <w:rFonts w:ascii="Avenir Next" w:hAnsi="Avenir Next"/>
                <w:b w:val="0"/>
                <w:color w:val="1A202C"/>
                <w:sz w:val="18"/>
              </w:rPr>
              <w:t>Illustrative pricing case; assumptions stated explicitly</w:t>
            </w:r>
          </w:p>
        </w:tc>
      </w:tr>
    </w:tbl>
    <w:p>
      <w:pPr>
        <w:spacing w:after="40"/>
        <w:jc w:val="left"/>
      </w:pPr>
      <w:r>
        <w:rPr>
          <w:rFonts w:ascii="Avenir Next" w:hAnsi="Avenir Next"/>
          <w:b w:val="0"/>
          <w:color w:val="1A202C"/>
          <w:sz w:val="21"/>
        </w:rPr>
      </w:r>
    </w:p>
    <w:p>
      <w:pPr>
        <w:pStyle w:val="Heading1"/>
        <w:spacing w:before="200" w:after="80"/>
      </w:pPr>
      <w:r>
        <w:t>Annexes Reviewed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The package uses the strongest parts of the new annexes selectively rather than treating every annex as a front-line asset.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The clean `*_Santiago_Garces` documents contributed tighter executive wording.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The clean MBB decks contributed stronger story compression, but not enough depth by themselves.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The investment memo contributed stronger structuring for recommendation, risk, and return logic.</w:t>
      </w:r>
    </w:p>
    <w:p>
      <w:pPr>
        <w:pStyle w:val="ListBullet"/>
        <w:spacing w:after="40"/>
      </w:pPr>
      <w:r>
        <w:rPr>
          <w:rFonts w:ascii="Avenir Next" w:hAnsi="Avenir Next"/>
          <w:color w:val="1A202C"/>
          <w:sz w:val="20"/>
        </w:rPr>
        <w:t>The audit analytics and thesis materials remain reference material that supports framing, not hero proof by themselves.</w:t>
      </w:r>
    </w:p>
    <w:p>
      <w:pPr>
        <w:pStyle w:val="Heading1"/>
        <w:spacing w:before="200" w:after="80"/>
      </w:pPr>
      <w:r>
        <w:t>Contact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For recruiter review or project discussion, email santiago.garces.blevine@gmail.com. Include the role or problem, timeline, and expected deliverable format.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Location: Medellin, Colombia (UTC-5).</w:t>
      </w:r>
    </w:p>
    <w:p>
      <w:pPr>
        <w:pStyle w:val="Heading1"/>
        <w:spacing w:before="200" w:after="80"/>
      </w:pPr>
      <w:r>
        <w:t>Author and Contact</w:t>
      </w:r>
    </w:p>
    <w:p>
      <w:pPr>
        <w:spacing w:after="120"/>
        <w:jc w:val="left"/>
      </w:pPr>
      <w:r>
        <w:rPr>
          <w:rFonts w:ascii="Avenir Next" w:hAnsi="Avenir Next"/>
          <w:b w:val="0"/>
          <w:color w:val="1A202C"/>
          <w:sz w:val="21"/>
        </w:rPr>
        <w:t>Santiago Garces Chavarria turns fragmented market, regulatory, operational, and financial information into decision-ready outputs. His edge sits at the intersection of regulated operations, structured research, and AI-enabled workflow execution.</w:t>
      </w:r>
    </w:p>
    <w:p>
      <w:pPr>
        <w:spacing w:after="120"/>
        <w:jc w:val="left"/>
      </w:pPr>
      <w:r>
        <w:rPr>
          <w:rFonts w:ascii="Avenir Next" w:hAnsi="Avenir Next"/>
          <w:b/>
          <w:color w:val="2C5282"/>
          <w:sz w:val="21"/>
        </w:rPr>
        <w:t>For recruiter review or project discussion, email santiago.garces.blevine@gmail.com. Include the role or problem, timeline, and expected deliverable format.</w:t>
      </w:r>
    </w:p>
    <w:sectPr w:rsidR="00FC693F" w:rsidRPr="0006063C" w:rsidSect="00034616">
      <w:pgSz w:w="12240" w:h="15840"/>
      <w:pgMar w:top="1080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 Next" w:hAnsi="Avenir Next"/>
        <w:color w:val="4A5568"/>
        <w:sz w:val="16"/>
      </w:rPr>
      <w:t>Santiago Garces Chavarria | santiago.garces.blevine@gmail.com | Control Dossier for the 3 Hero Cases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1A23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C52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