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Avenir Next" w:hAnsi="Avenir Next"/>
          <w:b/>
          <w:color w:val="2C5282"/>
          <w:sz w:val="19"/>
        </w:rPr>
        <w:t>MARKET RESEARCH | COMPETITIVE INTELLIGENCE | AI WORKFLOW EXECUTION</w:t>
      </w:r>
    </w:p>
    <w:p>
      <w:pPr>
        <w:spacing w:after="80"/>
        <w:jc w:val="left"/>
      </w:pPr>
      <w:r>
        <w:rPr>
          <w:rFonts w:ascii="Avenir Next" w:hAnsi="Avenir Next"/>
          <w:b/>
          <w:color w:val="1A2332"/>
          <w:sz w:val="48"/>
        </w:rPr>
        <w:t>Portfolio Master Dossier</w:t>
      </w:r>
    </w:p>
    <w:p>
      <w:pPr>
        <w:spacing w:after="80"/>
        <w:jc w:val="left"/>
      </w:pPr>
      <w:r>
        <w:rPr>
          <w:rFonts w:ascii="Avenir Next" w:hAnsi="Avenir Next"/>
          <w:b/>
          <w:color w:val="3182CE"/>
          <w:sz w:val="24"/>
        </w:rPr>
        <w:t>Portfolio Guide and Positioning Dossier</w:t>
      </w:r>
    </w:p>
    <w:p>
      <w:pPr>
        <w:spacing w:after="160"/>
        <w:jc w:val="left"/>
      </w:pPr>
      <w:r>
        <w:rPr>
          <w:rFonts w:ascii="Avenir Next" w:hAnsi="Avenir Next"/>
          <w:b w:val="0"/>
          <w:color w:val="4A5568"/>
          <w:sz w:val="19"/>
        </w:rPr>
        <w:t>Santiago Garces Chavarria | santiago.garces.blevine@gmail.com | Medellin, Colombia</w:t>
      </w:r>
    </w:p>
    <w:tbl>
      <w:tblPr>
        <w:tblW w:type="auto" w:w="0"/>
        <w:jc w:val="left"/>
        <w:tblLayout w:type="autofit"/>
        <w:tblLook w:firstColumn="1" w:firstRow="1" w:lastColumn="0" w:lastRow="0" w:noHBand="0" w:noVBand="1" w:val="04A0"/>
      </w:tblPr>
      <w:tblGrid>
        <w:gridCol w:w="5083"/>
        <w:gridCol w:w="5083"/>
      </w:tblGrid>
      <w:tr>
        <w:tc>
          <w:tcPr>
            <w:tcW w:type="dxa" w:w="5083"/>
            <w:shd w:fill="2C5282"/>
            <w:vAlign w:val="center"/>
          </w:tcPr>
          <w:p>
            <w:pPr>
              <w:jc w:val="center"/>
            </w:pPr>
            <w:r/>
            <w:r>
              <w:rPr>
                <w:rFonts w:ascii="Avenir Next" w:hAnsi="Avenir Next"/>
                <w:b/>
                <w:color w:val="FFFFFF"/>
                <w:sz w:val="19"/>
              </w:rPr>
              <w:t>PORTFOLIO DOSSIER</w:t>
            </w:r>
          </w:p>
        </w:tc>
        <w:tc>
          <w:tcPr>
            <w:tcW w:type="dxa" w:w="5083"/>
            <w:shd w:fill="F7FAFC"/>
            <w:vAlign w:val="center"/>
          </w:tcPr>
          <w:p>
            <w:pPr>
              <w:jc w:val="left"/>
            </w:pPr>
            <w:r/>
            <w:r>
              <w:rPr>
                <w:rFonts w:ascii="Avenir Next" w:hAnsi="Avenir Next"/>
                <w:b w:val="0"/>
                <w:color w:val="1A202C"/>
                <w:sz w:val="19"/>
              </w:rPr>
              <w:t>Curated guide to Santiago Garces Chavarria's research, strategy, and AI workflow portfolio.</w:t>
            </w:r>
          </w:p>
        </w:tc>
      </w:tr>
    </w:tbl>
    <w:p>
      <w:pPr>
        <w:spacing w:after="40"/>
        <w:jc w:val="left"/>
      </w:pPr>
      <w:r>
        <w:rPr>
          <w:rFonts w:ascii="Avenir Next" w:hAnsi="Avenir Next"/>
          <w:b w:val="0"/>
          <w:color w:val="1A202C"/>
          <w:sz w:val="21"/>
        </w:rPr>
      </w:r>
    </w:p>
    <w:tbl>
      <w:tblPr>
        <w:tblW w:type="auto" w:w="0"/>
        <w:jc w:val="left"/>
        <w:tblLayout w:type="autofit"/>
        <w:tblLook w:firstColumn="1" w:firstRow="1" w:lastColumn="0" w:lastRow="0" w:noHBand="0" w:noVBand="1" w:val="04A0"/>
      </w:tblPr>
      <w:tblGrid>
        <w:gridCol w:w="5083"/>
        <w:gridCol w:w="5083"/>
      </w:tblGrid>
      <w:tr>
        <w:tc>
          <w:tcPr>
            <w:tcW w:type="dxa" w:w="5083"/>
            <w:shd w:fill="F7FAFC"/>
          </w:tcPr>
          <w:p>
            <w:pPr>
              <w:jc w:val="left"/>
            </w:pPr>
            <w:r/>
            <w:r>
              <w:rPr>
                <w:rFonts w:ascii="Avenir Next" w:hAnsi="Avenir Next"/>
                <w:b/>
                <w:color w:val="1A2332"/>
                <w:sz w:val="30"/>
              </w:rPr>
              <w:t>97%+</w:t>
            </w:r>
          </w:p>
          <w:p>
            <w:pPr>
              <w:spacing w:before="40"/>
            </w:pPr>
            <w:r>
              <w:rPr>
                <w:rFonts w:ascii="Avenir Next" w:hAnsi="Avenir Next"/>
                <w:color w:val="4A5568"/>
                <w:sz w:val="18"/>
              </w:rPr>
              <w:t>AI workflow assignment accuracy</w:t>
            </w:r>
          </w:p>
        </w:tc>
        <w:tc>
          <w:tcPr>
            <w:tcW w:type="dxa" w:w="5083"/>
            <w:shd w:fill="F7FAFC"/>
          </w:tcPr>
          <w:p>
            <w:pPr>
              <w:jc w:val="left"/>
            </w:pPr>
            <w:r/>
            <w:r>
              <w:rPr>
                <w:rFonts w:ascii="Avenir Next" w:hAnsi="Avenir Next"/>
                <w:b/>
                <w:color w:val="1A2332"/>
                <w:sz w:val="30"/>
              </w:rPr>
              <w:t>24+ hrs</w:t>
            </w:r>
          </w:p>
          <w:p>
            <w:pPr>
              <w:spacing w:before="40"/>
            </w:pPr>
            <w:r>
              <w:rPr>
                <w:rFonts w:ascii="Avenir Next" w:hAnsi="Avenir Next"/>
                <w:color w:val="4A5568"/>
                <w:sz w:val="18"/>
              </w:rPr>
              <w:t>manual work removed weekly</w:t>
            </w:r>
          </w:p>
        </w:tc>
      </w:tr>
      <w:tr>
        <w:tc>
          <w:tcPr>
            <w:tcW w:type="dxa" w:w="5083"/>
            <w:shd w:fill="F7FAFC"/>
          </w:tcPr>
          <w:p>
            <w:pPr>
              <w:jc w:val="left"/>
            </w:pPr>
            <w:r/>
            <w:r>
              <w:rPr>
                <w:rFonts w:ascii="Avenir Next" w:hAnsi="Avenir Next"/>
                <w:b/>
                <w:color w:val="1A2332"/>
                <w:sz w:val="30"/>
              </w:rPr>
              <w:t>657+</w:t>
            </w:r>
          </w:p>
          <w:p>
            <w:pPr>
              <w:spacing w:before="40"/>
            </w:pPr>
            <w:r>
              <w:rPr>
                <w:rFonts w:ascii="Avenir Next" w:hAnsi="Avenir Next"/>
                <w:color w:val="4A5568"/>
                <w:sz w:val="18"/>
              </w:rPr>
              <w:t>audit requirements managed</w:t>
            </w:r>
          </w:p>
        </w:tc>
        <w:tc>
          <w:tcPr>
            <w:tcW w:type="dxa" w:w="5083"/>
            <w:shd w:fill="F7FAFC"/>
          </w:tcPr>
          <w:p>
            <w:pPr>
              <w:jc w:val="left"/>
            </w:pPr>
            <w:r/>
            <w:r>
              <w:rPr>
                <w:rFonts w:ascii="Avenir Next" w:hAnsi="Avenir Next"/>
                <w:b/>
                <w:color w:val="1A2332"/>
                <w:sz w:val="30"/>
              </w:rPr>
              <w:t>4</w:t>
            </w:r>
          </w:p>
          <w:p>
            <w:pPr>
              <w:spacing w:before="40"/>
            </w:pPr>
            <w:r>
              <w:rPr>
                <w:rFonts w:ascii="Avenir Next" w:hAnsi="Avenir Next"/>
                <w:color w:val="4A5568"/>
                <w:sz w:val="18"/>
              </w:rPr>
              <w:t>jurisdictions covered in fintech regulation research</w:t>
            </w:r>
          </w:p>
        </w:tc>
      </w:tr>
    </w:tbl>
    <w:p>
      <w:pPr>
        <w:spacing w:after="40"/>
        <w:jc w:val="left"/>
      </w:pPr>
      <w:r>
        <w:rPr>
          <w:rFonts w:ascii="Avenir Next" w:hAnsi="Avenir Next"/>
          <w:b w:val="0"/>
          <w:color w:val="1A202C"/>
          <w:sz w:val="21"/>
        </w:rPr>
      </w:r>
    </w:p>
    <w:p>
      <w:pPr>
        <w:pStyle w:val="Heading1"/>
        <w:spacing w:before="200" w:after="80"/>
      </w:pPr>
      <w:r>
        <w:t>Executive Summary</w:t>
      </w:r>
    </w:p>
    <w:p>
      <w:pPr>
        <w:spacing w:after="160"/>
        <w:jc w:val="left"/>
      </w:pPr>
      <w:r>
        <w:rPr>
          <w:rFonts w:ascii="Avenir Next" w:hAnsi="Avenir Next"/>
          <w:b w:val="0"/>
          <w:color w:val="1A202C"/>
          <w:sz w:val="21"/>
        </w:rPr>
        <w:t>This dossier organizes Santiago Garces Chavarria's portfolio into a clear proof system for recruiters, strategy teams, founders, and direct clients. The portfolio is built around six core assets: operational intelligence, market research, competitive benchmarking, pricing strategy, regulatory analysis, and executive writing. Each asset is labeled by work type and designed to demonstrate one concrete capability rather than make generic claims.</w:t>
      </w:r>
    </w:p>
    <w:p>
      <w:pPr>
        <w:sectPr>
          <w:footerReference w:type="default" r:id="rId9"/>
          <w:pgSz w:w="12240" w:h="15840"/>
          <w:pgMar w:top="1080" w:right="1037" w:bottom="936" w:left="1037" w:header="720" w:footer="720" w:gutter="0"/>
          <w:cols w:space="720"/>
          <w:docGrid w:linePitch="360"/>
        </w:sectPr>
      </w:pPr>
    </w:p>
    <w:p>
      <w:pPr>
        <w:pStyle w:val="Heading1"/>
        <w:spacing w:before="200" w:after="80"/>
      </w:pPr>
      <w:r>
        <w:t>Positioning</w:t>
      </w:r>
    </w:p>
    <w:p>
      <w:pPr>
        <w:spacing w:after="120"/>
        <w:jc w:val="left"/>
      </w:pPr>
      <w:r>
        <w:rPr>
          <w:rFonts w:ascii="Avenir Next" w:hAnsi="Avenir Next"/>
          <w:b w:val="0"/>
          <w:color w:val="1A202C"/>
          <w:sz w:val="21"/>
        </w:rPr>
        <w:t>Santiago is an analytical operator who turns fragmented market, regulatory, financial, and operational information into clear recommendations, structured deliverables, and decision-ready outputs.</w:t>
      </w:r>
    </w:p>
    <w:p>
      <w:pPr>
        <w:spacing w:after="120"/>
        <w:jc w:val="left"/>
      </w:pPr>
      <w:r>
        <w:rPr>
          <w:rFonts w:ascii="Avenir Next" w:hAnsi="Avenir Next"/>
          <w:b w:val="0"/>
          <w:color w:val="1A202C"/>
          <w:sz w:val="21"/>
        </w:rPr>
        <w:t>His edge sits at the intersection of regulated financial-services operations, structured research, and AI-enabled workflow execution. That combination allows him to support work that is simultaneously analytical, commercially useful, and execution-aware.</w:t>
      </w:r>
    </w:p>
    <w:p>
      <w:pPr>
        <w:pStyle w:val="Heading1"/>
        <w:spacing w:before="200" w:after="80"/>
      </w:pPr>
      <w:r>
        <w:t>What This Portfolio Proves</w:t>
      </w:r>
    </w:p>
    <w:p>
      <w:pPr>
        <w:pStyle w:val="ListBullet"/>
        <w:spacing w:after="40"/>
      </w:pPr>
      <w:r>
        <w:rPr>
          <w:rFonts w:ascii="Avenir Next" w:hAnsi="Avenir Next"/>
          <w:color w:val="1A202C"/>
          <w:sz w:val="20"/>
        </w:rPr>
        <w:t>Clear English writing in memo, report, brief, and slide-deck formats.</w:t>
      </w:r>
    </w:p>
    <w:p>
      <w:pPr>
        <w:pStyle w:val="ListBullet"/>
        <w:spacing w:after="40"/>
      </w:pPr>
      <w:r>
        <w:rPr>
          <w:rFonts w:ascii="Avenir Next" w:hAnsi="Avenir Next"/>
          <w:color w:val="1A202C"/>
          <w:sz w:val="20"/>
        </w:rPr>
        <w:t>Structured thinking under uncertainty across research, strategy, and regulated-market topics.</w:t>
      </w:r>
    </w:p>
    <w:p>
      <w:pPr>
        <w:pStyle w:val="ListBullet"/>
        <w:spacing w:after="40"/>
      </w:pPr>
      <w:r>
        <w:rPr>
          <w:rFonts w:ascii="Avenir Next" w:hAnsi="Avenir Next"/>
          <w:color w:val="1A202C"/>
          <w:sz w:val="20"/>
        </w:rPr>
        <w:t>Commercial reasoning in pricing, positioning, and competitive analysis work.</w:t>
      </w:r>
    </w:p>
    <w:p>
      <w:pPr>
        <w:pStyle w:val="ListBullet"/>
        <w:spacing w:after="40"/>
      </w:pPr>
      <w:r>
        <w:rPr>
          <w:rFonts w:ascii="Avenir Next" w:hAnsi="Avenir Next"/>
          <w:color w:val="1A202C"/>
          <w:sz w:val="20"/>
        </w:rPr>
        <w:t>AI-enabled execution linked to measurable operational outcomes, not superficial experimentation.</w:t>
      </w:r>
    </w:p>
    <w:p>
      <w:pPr>
        <w:pStyle w:val="ListBullet"/>
        <w:spacing w:after="40"/>
      </w:pPr>
      <w:r>
        <w:rPr>
          <w:rFonts w:ascii="Avenir Next" w:hAnsi="Avenir Next"/>
          <w:color w:val="1A202C"/>
          <w:sz w:val="20"/>
        </w:rPr>
        <w:t>Ability to operate in regulated or high-stakes environments with disciplined communication.</w:t>
      </w:r>
    </w:p>
    <w:p>
      <w:pPr>
        <w:pStyle w:val="Heading1"/>
        <w:spacing w:before="200" w:after="80"/>
      </w:pPr>
      <w:r>
        <w:t>Role-Fit Matrix</w:t>
      </w:r>
    </w:p>
    <w:p>
      <w:pPr>
        <w:spacing w:after="0"/>
        <w:jc w:val="left"/>
      </w:pPr>
      <w:r>
        <w:rPr>
          <w:rFonts w:ascii="Avenir Next" w:hAnsi="Avenir Next"/>
          <w:b w:val="0"/>
          <w:color w:val="1A202C"/>
          <w:sz w:val="21"/>
        </w:rPr>
      </w:r>
    </w:p>
    <w:p>
      <w:pPr>
        <w:spacing w:after="40"/>
        <w:jc w:val="left"/>
      </w:pPr>
      <w:r>
        <w:rPr>
          <w:rFonts w:ascii="Avenir Next" w:hAnsi="Avenir Next"/>
          <w:b/>
          <w:color w:val="4A5568"/>
          <w:sz w:val="18"/>
        </w:rPr>
        <w:t>Primary role categories</w:t>
      </w:r>
    </w:p>
    <w:tbl>
      <w:tblPr>
        <w:tblW w:type="auto" w:w="0"/>
        <w:jc w:val="left"/>
        <w:tblLayout w:type="autofit"/>
        <w:tblLook w:firstColumn="1" w:firstRow="1" w:lastColumn="0" w:lastRow="0" w:noHBand="0" w:noVBand="1" w:val="04A0"/>
      </w:tblPr>
      <w:tblGrid>
        <w:gridCol w:w="3389"/>
        <w:gridCol w:w="3389"/>
        <w:gridCol w:w="3389"/>
      </w:tblGrid>
      <w:tr>
        <w:tc>
          <w:tcPr>
            <w:tcW w:type="dxa" w:w="3389"/>
            <w:shd w:fill="1A2332"/>
            <w:vAlign w:val="center"/>
          </w:tcPr>
          <w:p>
            <w:pPr>
              <w:jc w:val="center"/>
            </w:pPr>
            <w:r/>
            <w:r>
              <w:rPr>
                <w:rFonts w:ascii="Avenir Next" w:hAnsi="Avenir Next"/>
                <w:b/>
                <w:color w:val="FFFFFF"/>
                <w:sz w:val="19"/>
              </w:rPr>
              <w:t>Role category</w:t>
            </w:r>
          </w:p>
        </w:tc>
        <w:tc>
          <w:tcPr>
            <w:tcW w:type="dxa" w:w="3389"/>
            <w:shd w:fill="1A2332"/>
            <w:vAlign w:val="center"/>
          </w:tcPr>
          <w:p>
            <w:pPr>
              <w:jc w:val="center"/>
            </w:pPr>
            <w:r/>
            <w:r>
              <w:rPr>
                <w:rFonts w:ascii="Avenir Next" w:hAnsi="Avenir Next"/>
                <w:b/>
                <w:color w:val="FFFFFF"/>
                <w:sz w:val="19"/>
              </w:rPr>
              <w:t>Fit</w:t>
            </w:r>
          </w:p>
        </w:tc>
        <w:tc>
          <w:tcPr>
            <w:tcW w:type="dxa" w:w="3389"/>
            <w:shd w:fill="1A2332"/>
            <w:vAlign w:val="center"/>
          </w:tcPr>
          <w:p>
            <w:pPr>
              <w:jc w:val="center"/>
            </w:pPr>
            <w:r/>
            <w:r>
              <w:rPr>
                <w:rFonts w:ascii="Avenir Next" w:hAnsi="Avenir Next"/>
                <w:b/>
                <w:color w:val="FFFFFF"/>
                <w:sz w:val="19"/>
              </w:rPr>
              <w:t>Portfolio proof</w:t>
            </w:r>
          </w:p>
        </w:tc>
      </w:tr>
      <w:tr>
        <w:tc>
          <w:tcPr>
            <w:tcW w:type="dxa" w:w="3389"/>
            <w:shd w:fill="F7FAFC"/>
            <w:vAlign w:val="center"/>
          </w:tcPr>
          <w:p>
            <w:pPr>
              <w:jc w:val="left"/>
            </w:pPr>
            <w:r/>
            <w:r>
              <w:rPr>
                <w:rFonts w:ascii="Avenir Next" w:hAnsi="Avenir Next"/>
                <w:b w:val="0"/>
                <w:color w:val="1A202C"/>
                <w:sz w:val="18"/>
              </w:rPr>
              <w:t>Market Research Analyst</w:t>
            </w:r>
          </w:p>
        </w:tc>
        <w:tc>
          <w:tcPr>
            <w:tcW w:type="dxa" w:w="3389"/>
            <w:shd w:fill="F7FAFC"/>
            <w:vAlign w:val="center"/>
          </w:tcPr>
          <w:p>
            <w:pPr>
              <w:jc w:val="left"/>
            </w:pPr>
            <w:r/>
            <w:r>
              <w:rPr>
                <w:rFonts w:ascii="Avenir Next" w:hAnsi="Avenir Next"/>
                <w:b w:val="0"/>
                <w:color w:val="1A202C"/>
                <w:sz w:val="18"/>
              </w:rPr>
              <w:t>High</w:t>
            </w:r>
          </w:p>
        </w:tc>
        <w:tc>
          <w:tcPr>
            <w:tcW w:type="dxa" w:w="3389"/>
            <w:shd w:fill="F7FAFC"/>
            <w:vAlign w:val="center"/>
          </w:tcPr>
          <w:p>
            <w:pPr>
              <w:jc w:val="left"/>
            </w:pPr>
            <w:r/>
            <w:r>
              <w:rPr>
                <w:rFonts w:ascii="Avenir Next" w:hAnsi="Avenir Next"/>
                <w:b w:val="0"/>
                <w:color w:val="1A202C"/>
                <w:sz w:val="18"/>
              </w:rPr>
              <w:t>Assets 02, 03, 05</w:t>
            </w:r>
          </w:p>
        </w:tc>
      </w:tr>
      <w:tr>
        <w:tc>
          <w:tcPr>
            <w:tcW w:type="dxa" w:w="3389"/>
            <w:vAlign w:val="center"/>
          </w:tcPr>
          <w:p>
            <w:pPr>
              <w:jc w:val="left"/>
            </w:pPr>
            <w:r/>
            <w:r>
              <w:rPr>
                <w:rFonts w:ascii="Avenir Next" w:hAnsi="Avenir Next"/>
                <w:b w:val="0"/>
                <w:color w:val="1A202C"/>
                <w:sz w:val="18"/>
              </w:rPr>
              <w:t>Competitive Intelligence Analyst</w:t>
            </w:r>
          </w:p>
        </w:tc>
        <w:tc>
          <w:tcPr>
            <w:tcW w:type="dxa" w:w="3389"/>
            <w:vAlign w:val="center"/>
          </w:tcPr>
          <w:p>
            <w:pPr>
              <w:jc w:val="left"/>
            </w:pPr>
            <w:r/>
            <w:r>
              <w:rPr>
                <w:rFonts w:ascii="Avenir Next" w:hAnsi="Avenir Next"/>
                <w:b w:val="0"/>
                <w:color w:val="1A202C"/>
                <w:sz w:val="18"/>
              </w:rPr>
              <w:t>High</w:t>
            </w:r>
          </w:p>
        </w:tc>
        <w:tc>
          <w:tcPr>
            <w:tcW w:type="dxa" w:w="3389"/>
            <w:vAlign w:val="center"/>
          </w:tcPr>
          <w:p>
            <w:pPr>
              <w:jc w:val="left"/>
            </w:pPr>
            <w:r/>
            <w:r>
              <w:rPr>
                <w:rFonts w:ascii="Avenir Next" w:hAnsi="Avenir Next"/>
                <w:b w:val="0"/>
                <w:color w:val="1A202C"/>
                <w:sz w:val="18"/>
              </w:rPr>
              <w:t>Assets 02 and 03</w:t>
            </w:r>
          </w:p>
        </w:tc>
      </w:tr>
      <w:tr>
        <w:tc>
          <w:tcPr>
            <w:tcW w:type="dxa" w:w="3389"/>
            <w:shd w:fill="F7FAFC"/>
            <w:vAlign w:val="center"/>
          </w:tcPr>
          <w:p>
            <w:pPr>
              <w:jc w:val="left"/>
            </w:pPr>
            <w:r/>
            <w:r>
              <w:rPr>
                <w:rFonts w:ascii="Avenir Next" w:hAnsi="Avenir Next"/>
                <w:b w:val="0"/>
                <w:color w:val="1A202C"/>
                <w:sz w:val="18"/>
              </w:rPr>
              <w:t>Strategy Analyst</w:t>
            </w:r>
          </w:p>
        </w:tc>
        <w:tc>
          <w:tcPr>
            <w:tcW w:type="dxa" w:w="3389"/>
            <w:shd w:fill="F7FAFC"/>
            <w:vAlign w:val="center"/>
          </w:tcPr>
          <w:p>
            <w:pPr>
              <w:jc w:val="left"/>
            </w:pPr>
            <w:r/>
            <w:r>
              <w:rPr>
                <w:rFonts w:ascii="Avenir Next" w:hAnsi="Avenir Next"/>
                <w:b w:val="0"/>
                <w:color w:val="1A202C"/>
                <w:sz w:val="18"/>
              </w:rPr>
              <w:t>High</w:t>
            </w:r>
          </w:p>
        </w:tc>
        <w:tc>
          <w:tcPr>
            <w:tcW w:type="dxa" w:w="3389"/>
            <w:shd w:fill="F7FAFC"/>
            <w:vAlign w:val="center"/>
          </w:tcPr>
          <w:p>
            <w:pPr>
              <w:jc w:val="left"/>
            </w:pPr>
            <w:r/>
            <w:r>
              <w:rPr>
                <w:rFonts w:ascii="Avenir Next" w:hAnsi="Avenir Next"/>
                <w:b w:val="0"/>
                <w:color w:val="1A202C"/>
                <w:sz w:val="18"/>
              </w:rPr>
              <w:t>Assets 03 and 04</w:t>
            </w:r>
          </w:p>
        </w:tc>
      </w:tr>
      <w:tr>
        <w:tc>
          <w:tcPr>
            <w:tcW w:type="dxa" w:w="3389"/>
            <w:vAlign w:val="center"/>
          </w:tcPr>
          <w:p>
            <w:pPr>
              <w:jc w:val="left"/>
            </w:pPr>
            <w:r/>
            <w:r>
              <w:rPr>
                <w:rFonts w:ascii="Avenir Next" w:hAnsi="Avenir Next"/>
                <w:b w:val="0"/>
                <w:color w:val="1A202C"/>
                <w:sz w:val="18"/>
              </w:rPr>
              <w:t>Pricing Strategy Research</w:t>
            </w:r>
          </w:p>
        </w:tc>
        <w:tc>
          <w:tcPr>
            <w:tcW w:type="dxa" w:w="3389"/>
            <w:vAlign w:val="center"/>
          </w:tcPr>
          <w:p>
            <w:pPr>
              <w:jc w:val="left"/>
            </w:pPr>
            <w:r/>
            <w:r>
              <w:rPr>
                <w:rFonts w:ascii="Avenir Next" w:hAnsi="Avenir Next"/>
                <w:b w:val="0"/>
                <w:color w:val="1A202C"/>
                <w:sz w:val="18"/>
              </w:rPr>
              <w:t>High</w:t>
            </w:r>
          </w:p>
        </w:tc>
        <w:tc>
          <w:tcPr>
            <w:tcW w:type="dxa" w:w="3389"/>
            <w:vAlign w:val="center"/>
          </w:tcPr>
          <w:p>
            <w:pPr>
              <w:jc w:val="left"/>
            </w:pPr>
            <w:r/>
            <w:r>
              <w:rPr>
                <w:rFonts w:ascii="Avenir Next" w:hAnsi="Avenir Next"/>
                <w:b w:val="0"/>
                <w:color w:val="1A202C"/>
                <w:sz w:val="18"/>
              </w:rPr>
              <w:t>Asset 04</w:t>
            </w:r>
          </w:p>
        </w:tc>
      </w:tr>
      <w:tr>
        <w:tc>
          <w:tcPr>
            <w:tcW w:type="dxa" w:w="3389"/>
            <w:shd w:fill="F7FAFC"/>
            <w:vAlign w:val="center"/>
          </w:tcPr>
          <w:p>
            <w:pPr>
              <w:jc w:val="left"/>
            </w:pPr>
            <w:r/>
            <w:r>
              <w:rPr>
                <w:rFonts w:ascii="Avenir Next" w:hAnsi="Avenir Next"/>
                <w:b w:val="0"/>
                <w:color w:val="1A202C"/>
                <w:sz w:val="18"/>
              </w:rPr>
              <w:t>Regulated-market Analysis</w:t>
            </w:r>
          </w:p>
        </w:tc>
        <w:tc>
          <w:tcPr>
            <w:tcW w:type="dxa" w:w="3389"/>
            <w:shd w:fill="F7FAFC"/>
            <w:vAlign w:val="center"/>
          </w:tcPr>
          <w:p>
            <w:pPr>
              <w:jc w:val="left"/>
            </w:pPr>
            <w:r/>
            <w:r>
              <w:rPr>
                <w:rFonts w:ascii="Avenir Next" w:hAnsi="Avenir Next"/>
                <w:b w:val="0"/>
                <w:color w:val="1A202C"/>
                <w:sz w:val="18"/>
              </w:rPr>
              <w:t>High</w:t>
            </w:r>
          </w:p>
        </w:tc>
        <w:tc>
          <w:tcPr>
            <w:tcW w:type="dxa" w:w="3389"/>
            <w:shd w:fill="F7FAFC"/>
            <w:vAlign w:val="center"/>
          </w:tcPr>
          <w:p>
            <w:pPr>
              <w:jc w:val="left"/>
            </w:pPr>
            <w:r/>
            <w:r>
              <w:rPr>
                <w:rFonts w:ascii="Avenir Next" w:hAnsi="Avenir Next"/>
                <w:b w:val="0"/>
                <w:color w:val="1A202C"/>
                <w:sz w:val="18"/>
              </w:rPr>
              <w:t>Asset 05</w:t>
            </w:r>
          </w:p>
        </w:tc>
      </w:tr>
      <w:tr>
        <w:tc>
          <w:tcPr>
            <w:tcW w:type="dxa" w:w="3389"/>
            <w:vAlign w:val="center"/>
          </w:tcPr>
          <w:p>
            <w:pPr>
              <w:jc w:val="left"/>
            </w:pPr>
            <w:r/>
            <w:r>
              <w:rPr>
                <w:rFonts w:ascii="Avenir Next" w:hAnsi="Avenir Next"/>
                <w:b w:val="0"/>
                <w:color w:val="1A202C"/>
                <w:sz w:val="18"/>
              </w:rPr>
              <w:t>AI Workflow Projects</w:t>
            </w:r>
          </w:p>
        </w:tc>
        <w:tc>
          <w:tcPr>
            <w:tcW w:type="dxa" w:w="3389"/>
            <w:vAlign w:val="center"/>
          </w:tcPr>
          <w:p>
            <w:pPr>
              <w:jc w:val="left"/>
            </w:pPr>
            <w:r/>
            <w:r>
              <w:rPr>
                <w:rFonts w:ascii="Avenir Next" w:hAnsi="Avenir Next"/>
                <w:b w:val="0"/>
                <w:color w:val="1A202C"/>
                <w:sz w:val="18"/>
              </w:rPr>
              <w:t>High</w:t>
            </w:r>
          </w:p>
        </w:tc>
        <w:tc>
          <w:tcPr>
            <w:tcW w:type="dxa" w:w="3389"/>
            <w:vAlign w:val="center"/>
          </w:tcPr>
          <w:p>
            <w:pPr>
              <w:jc w:val="left"/>
            </w:pPr>
            <w:r/>
            <w:r>
              <w:rPr>
                <w:rFonts w:ascii="Avenir Next" w:hAnsi="Avenir Next"/>
                <w:b w:val="0"/>
                <w:color w:val="1A202C"/>
                <w:sz w:val="18"/>
              </w:rPr>
              <w:t>Asset 01</w:t>
            </w:r>
          </w:p>
        </w:tc>
      </w:tr>
      <w:tr>
        <w:tc>
          <w:tcPr>
            <w:tcW w:type="dxa" w:w="3389"/>
            <w:shd w:fill="F7FAFC"/>
            <w:vAlign w:val="center"/>
          </w:tcPr>
          <w:p>
            <w:pPr>
              <w:jc w:val="left"/>
            </w:pPr>
            <w:r/>
            <w:r>
              <w:rPr>
                <w:rFonts w:ascii="Avenir Next" w:hAnsi="Avenir Next"/>
                <w:b w:val="0"/>
                <w:color w:val="1A202C"/>
                <w:sz w:val="18"/>
              </w:rPr>
              <w:t>Financial Research Support</w:t>
            </w:r>
          </w:p>
        </w:tc>
        <w:tc>
          <w:tcPr>
            <w:tcW w:type="dxa" w:w="3389"/>
            <w:shd w:fill="F7FAFC"/>
            <w:vAlign w:val="center"/>
          </w:tcPr>
          <w:p>
            <w:pPr>
              <w:jc w:val="left"/>
            </w:pPr>
            <w:r/>
            <w:r>
              <w:rPr>
                <w:rFonts w:ascii="Avenir Next" w:hAnsi="Avenir Next"/>
                <w:b w:val="0"/>
                <w:color w:val="1A202C"/>
                <w:sz w:val="18"/>
              </w:rPr>
              <w:t>Adjacency</w:t>
            </w:r>
          </w:p>
        </w:tc>
        <w:tc>
          <w:tcPr>
            <w:tcW w:type="dxa" w:w="3389"/>
            <w:shd w:fill="F7FAFC"/>
            <w:vAlign w:val="center"/>
          </w:tcPr>
          <w:p>
            <w:pPr>
              <w:jc w:val="left"/>
            </w:pPr>
            <w:r/>
            <w:r>
              <w:rPr>
                <w:rFonts w:ascii="Avenir Next" w:hAnsi="Avenir Next"/>
                <w:b w:val="0"/>
                <w:color w:val="1A202C"/>
                <w:sz w:val="18"/>
              </w:rPr>
              <w:t>Assets 04 and 05</w:t>
            </w:r>
          </w:p>
        </w:tc>
      </w:tr>
      <w:tr>
        <w:tc>
          <w:tcPr>
            <w:tcW w:type="dxa" w:w="3389"/>
            <w:vAlign w:val="center"/>
          </w:tcPr>
          <w:p>
            <w:pPr>
              <w:jc w:val="left"/>
            </w:pPr>
            <w:r/>
            <w:r>
              <w:rPr>
                <w:rFonts w:ascii="Avenir Next" w:hAnsi="Avenir Next"/>
                <w:b w:val="0"/>
                <w:color w:val="1A202C"/>
                <w:sz w:val="18"/>
              </w:rPr>
              <w:t>Deal / diligence support</w:t>
            </w:r>
          </w:p>
        </w:tc>
        <w:tc>
          <w:tcPr>
            <w:tcW w:type="dxa" w:w="3389"/>
            <w:vAlign w:val="center"/>
          </w:tcPr>
          <w:p>
            <w:pPr>
              <w:jc w:val="left"/>
            </w:pPr>
            <w:r/>
            <w:r>
              <w:rPr>
                <w:rFonts w:ascii="Avenir Next" w:hAnsi="Avenir Next"/>
                <w:b w:val="0"/>
                <w:color w:val="1A202C"/>
                <w:sz w:val="18"/>
              </w:rPr>
              <w:t>Adjacency</w:t>
            </w:r>
          </w:p>
        </w:tc>
        <w:tc>
          <w:tcPr>
            <w:tcW w:type="dxa" w:w="3389"/>
            <w:vAlign w:val="center"/>
          </w:tcPr>
          <w:p>
            <w:pPr>
              <w:jc w:val="left"/>
            </w:pPr>
            <w:r/>
            <w:r>
              <w:rPr>
                <w:rFonts w:ascii="Avenir Next" w:hAnsi="Avenir Next"/>
                <w:b w:val="0"/>
                <w:color w:val="1A202C"/>
                <w:sz w:val="18"/>
              </w:rPr>
              <w:t>Asset 03 style of structured comparison</w:t>
            </w:r>
          </w:p>
        </w:tc>
      </w:tr>
    </w:tbl>
    <w:p>
      <w:pPr>
        <w:spacing w:after="40"/>
        <w:jc w:val="left"/>
      </w:pPr>
      <w:r>
        <w:rPr>
          <w:rFonts w:ascii="Avenir Next" w:hAnsi="Avenir Next"/>
          <w:b w:val="0"/>
          <w:color w:val="1A202C"/>
          <w:sz w:val="21"/>
        </w:rPr>
      </w:r>
    </w:p>
    <w:p>
      <w:pPr>
        <w:pStyle w:val="Heading1"/>
        <w:spacing w:before="200" w:after="80"/>
      </w:pPr>
      <w:r>
        <w:t>Portfolio Map</w:t>
      </w:r>
    </w:p>
    <w:p>
      <w:pPr>
        <w:spacing w:after="0"/>
        <w:jc w:val="left"/>
      </w:pPr>
      <w:r>
        <w:rPr>
          <w:rFonts w:ascii="Avenir Next" w:hAnsi="Avenir Next"/>
          <w:b w:val="0"/>
          <w:color w:val="1A202C"/>
          <w:sz w:val="21"/>
        </w:rPr>
      </w:r>
    </w:p>
    <w:p>
      <w:pPr>
        <w:spacing w:after="40"/>
        <w:jc w:val="left"/>
      </w:pPr>
      <w:r>
        <w:rPr>
          <w:rFonts w:ascii="Avenir Next" w:hAnsi="Avenir Next"/>
          <w:b/>
          <w:color w:val="4A5568"/>
          <w:sz w:val="18"/>
        </w:rPr>
        <w:t>Core assets</w:t>
      </w:r>
    </w:p>
    <w:tbl>
      <w:tblPr>
        <w:tblW w:type="auto" w:w="0"/>
        <w:jc w:val="left"/>
        <w:tblLayout w:type="autofit"/>
        <w:tblLook w:firstColumn="1" w:firstRow="1" w:lastColumn="0" w:lastRow="0" w:noHBand="0" w:noVBand="1" w:val="04A0"/>
      </w:tblPr>
      <w:tblGrid>
        <w:gridCol w:w="2033"/>
        <w:gridCol w:w="2033"/>
        <w:gridCol w:w="2033"/>
        <w:gridCol w:w="2033"/>
        <w:gridCol w:w="2033"/>
      </w:tblGrid>
      <w:tr>
        <w:tc>
          <w:tcPr>
            <w:tcW w:type="dxa" w:w="2033"/>
            <w:shd w:fill="1A2332"/>
            <w:vAlign w:val="center"/>
          </w:tcPr>
          <w:p>
            <w:pPr>
              <w:jc w:val="center"/>
            </w:pPr>
            <w:r/>
            <w:r>
              <w:rPr>
                <w:rFonts w:ascii="Avenir Next" w:hAnsi="Avenir Next"/>
                <w:b/>
                <w:color w:val="FFFFFF"/>
                <w:sz w:val="19"/>
              </w:rPr>
              <w:t>ID</w:t>
            </w:r>
          </w:p>
        </w:tc>
        <w:tc>
          <w:tcPr>
            <w:tcW w:type="dxa" w:w="2033"/>
            <w:shd w:fill="1A2332"/>
            <w:vAlign w:val="center"/>
          </w:tcPr>
          <w:p>
            <w:pPr>
              <w:jc w:val="center"/>
            </w:pPr>
            <w:r/>
            <w:r>
              <w:rPr>
                <w:rFonts w:ascii="Avenir Next" w:hAnsi="Avenir Next"/>
                <w:b/>
                <w:color w:val="FFFFFF"/>
                <w:sz w:val="19"/>
              </w:rPr>
              <w:t>Asset</w:t>
            </w:r>
          </w:p>
        </w:tc>
        <w:tc>
          <w:tcPr>
            <w:tcW w:type="dxa" w:w="2033"/>
            <w:shd w:fill="1A2332"/>
            <w:vAlign w:val="center"/>
          </w:tcPr>
          <w:p>
            <w:pPr>
              <w:jc w:val="center"/>
            </w:pPr>
            <w:r/>
            <w:r>
              <w:rPr>
                <w:rFonts w:ascii="Avenir Next" w:hAnsi="Avenir Next"/>
                <w:b/>
                <w:color w:val="FFFFFF"/>
                <w:sz w:val="19"/>
              </w:rPr>
              <w:t>Work type</w:t>
            </w:r>
          </w:p>
        </w:tc>
        <w:tc>
          <w:tcPr>
            <w:tcW w:type="dxa" w:w="2033"/>
            <w:shd w:fill="1A2332"/>
            <w:vAlign w:val="center"/>
          </w:tcPr>
          <w:p>
            <w:pPr>
              <w:jc w:val="center"/>
            </w:pPr>
            <w:r/>
            <w:r>
              <w:rPr>
                <w:rFonts w:ascii="Avenir Next" w:hAnsi="Avenir Next"/>
                <w:b/>
                <w:color w:val="FFFFFF"/>
                <w:sz w:val="19"/>
              </w:rPr>
              <w:t>Format</w:t>
            </w:r>
          </w:p>
        </w:tc>
        <w:tc>
          <w:tcPr>
            <w:tcW w:type="dxa" w:w="2033"/>
            <w:shd w:fill="1A2332"/>
            <w:vAlign w:val="center"/>
          </w:tcPr>
          <w:p>
            <w:pPr>
              <w:jc w:val="center"/>
            </w:pPr>
            <w:r/>
            <w:r>
              <w:rPr>
                <w:rFonts w:ascii="Avenir Next" w:hAnsi="Avenir Next"/>
                <w:b/>
                <w:color w:val="FFFFFF"/>
                <w:sz w:val="19"/>
              </w:rPr>
              <w:t>Primary proof</w:t>
            </w:r>
          </w:p>
        </w:tc>
      </w:tr>
      <w:tr>
        <w:tc>
          <w:tcPr>
            <w:tcW w:type="dxa" w:w="2033"/>
            <w:shd w:fill="F7FAFC"/>
            <w:vAlign w:val="center"/>
          </w:tcPr>
          <w:p>
            <w:pPr>
              <w:jc w:val="left"/>
            </w:pPr>
            <w:r/>
            <w:r>
              <w:rPr>
                <w:rFonts w:ascii="Avenir Next" w:hAnsi="Avenir Next"/>
                <w:b w:val="0"/>
                <w:color w:val="1A202C"/>
                <w:sz w:val="18"/>
              </w:rPr>
              <w:t>01</w:t>
            </w:r>
          </w:p>
        </w:tc>
        <w:tc>
          <w:tcPr>
            <w:tcW w:type="dxa" w:w="2033"/>
            <w:shd w:fill="F7FAFC"/>
            <w:vAlign w:val="center"/>
          </w:tcPr>
          <w:p>
            <w:pPr>
              <w:jc w:val="left"/>
            </w:pPr>
            <w:r/>
            <w:r>
              <w:rPr>
                <w:rFonts w:ascii="Avenir Next" w:hAnsi="Avenir Next"/>
                <w:b w:val="0"/>
                <w:color w:val="1A202C"/>
                <w:sz w:val="18"/>
              </w:rPr>
              <w:t>AI-Powered Document Routing: 97% Accuracy and 24+ Hours Saved Weekly</w:t>
            </w:r>
          </w:p>
        </w:tc>
        <w:tc>
          <w:tcPr>
            <w:tcW w:type="dxa" w:w="2033"/>
            <w:shd w:fill="F7FAFC"/>
            <w:vAlign w:val="center"/>
          </w:tcPr>
          <w:p>
            <w:pPr>
              <w:jc w:val="left"/>
            </w:pPr>
            <w:r/>
            <w:r>
              <w:rPr>
                <w:rFonts w:ascii="Avenir Next" w:hAnsi="Avenir Next"/>
                <w:b w:val="0"/>
                <w:color w:val="1A202C"/>
                <w:sz w:val="18"/>
              </w:rPr>
              <w:t>Anonymized</w:t>
            </w:r>
          </w:p>
        </w:tc>
        <w:tc>
          <w:tcPr>
            <w:tcW w:type="dxa" w:w="2033"/>
            <w:shd w:fill="F7FAFC"/>
            <w:vAlign w:val="center"/>
          </w:tcPr>
          <w:p>
            <w:pPr>
              <w:jc w:val="left"/>
            </w:pPr>
            <w:r/>
            <w:r>
              <w:rPr>
                <w:rFonts w:ascii="Avenir Next" w:hAnsi="Avenir Next"/>
                <w:b w:val="0"/>
                <w:color w:val="1A202C"/>
                <w:sz w:val="18"/>
              </w:rPr>
              <w:t>Operational Intelligence Case Study</w:t>
            </w:r>
          </w:p>
        </w:tc>
        <w:tc>
          <w:tcPr>
            <w:tcW w:type="dxa" w:w="2033"/>
            <w:shd w:fill="F7FAFC"/>
            <w:vAlign w:val="center"/>
          </w:tcPr>
          <w:p>
            <w:pPr>
              <w:jc w:val="left"/>
            </w:pPr>
            <w:r/>
            <w:r>
              <w:rPr>
                <w:rFonts w:ascii="Avenir Next" w:hAnsi="Avenir Next"/>
                <w:b w:val="0"/>
                <w:color w:val="1A202C"/>
                <w:sz w:val="18"/>
              </w:rPr>
              <w:t>A regulated financial services firm processed more than 650 fiscal audit requirements annually through a manual classification and routing process.</w:t>
            </w:r>
          </w:p>
        </w:tc>
      </w:tr>
      <w:tr>
        <w:tc>
          <w:tcPr>
            <w:tcW w:type="dxa" w:w="2033"/>
            <w:vAlign w:val="center"/>
          </w:tcPr>
          <w:p>
            <w:pPr>
              <w:jc w:val="left"/>
            </w:pPr>
            <w:r/>
            <w:r>
              <w:rPr>
                <w:rFonts w:ascii="Avenir Next" w:hAnsi="Avenir Next"/>
                <w:b w:val="0"/>
                <w:color w:val="1A202C"/>
                <w:sz w:val="18"/>
              </w:rPr>
              <w:t>02</w:t>
            </w:r>
          </w:p>
        </w:tc>
        <w:tc>
          <w:tcPr>
            <w:tcW w:type="dxa" w:w="2033"/>
            <w:vAlign w:val="center"/>
          </w:tcPr>
          <w:p>
            <w:pPr>
              <w:jc w:val="left"/>
            </w:pPr>
            <w:r/>
            <w:r>
              <w:rPr>
                <w:rFonts w:ascii="Avenir Next" w:hAnsi="Avenir Next"/>
                <w:b w:val="0"/>
                <w:color w:val="1A202C"/>
                <w:sz w:val="18"/>
              </w:rPr>
              <w:t>AI Productivity Tools: Competitive Landscape and Market Entry Strategy</w:t>
            </w:r>
          </w:p>
        </w:tc>
        <w:tc>
          <w:tcPr>
            <w:tcW w:type="dxa" w:w="2033"/>
            <w:vAlign w:val="center"/>
          </w:tcPr>
          <w:p>
            <w:pPr>
              <w:jc w:val="left"/>
            </w:pPr>
            <w:r/>
            <w:r>
              <w:rPr>
                <w:rFonts w:ascii="Avenir Next" w:hAnsi="Avenir Next"/>
                <w:b w:val="0"/>
                <w:color w:val="1A202C"/>
                <w:sz w:val="18"/>
              </w:rPr>
              <w:t>Self-initiated</w:t>
            </w:r>
          </w:p>
        </w:tc>
        <w:tc>
          <w:tcPr>
            <w:tcW w:type="dxa" w:w="2033"/>
            <w:vAlign w:val="center"/>
          </w:tcPr>
          <w:p>
            <w:pPr>
              <w:jc w:val="left"/>
            </w:pPr>
            <w:r/>
            <w:r>
              <w:rPr>
                <w:rFonts w:ascii="Avenir Next" w:hAnsi="Avenir Next"/>
                <w:b w:val="0"/>
                <w:color w:val="1A202C"/>
                <w:sz w:val="18"/>
              </w:rPr>
              <w:t>Market Research Report</w:t>
            </w:r>
          </w:p>
        </w:tc>
        <w:tc>
          <w:tcPr>
            <w:tcW w:type="dxa" w:w="2033"/>
            <w:vAlign w:val="center"/>
          </w:tcPr>
          <w:p>
            <w:pPr>
              <w:jc w:val="left"/>
            </w:pPr>
            <w:r/>
            <w:r>
              <w:rPr>
                <w:rFonts w:ascii="Avenir Next" w:hAnsi="Avenir Next"/>
                <w:b w:val="0"/>
                <w:color w:val="1A202C"/>
                <w:sz w:val="18"/>
              </w:rPr>
              <w:t>The AI productivity market has separated into three practical layers: incumbent platform extensions, focused challengers, and workflow-specific specialists.</w:t>
            </w:r>
          </w:p>
        </w:tc>
      </w:tr>
      <w:tr>
        <w:tc>
          <w:tcPr>
            <w:tcW w:type="dxa" w:w="2033"/>
            <w:shd w:fill="F7FAFC"/>
            <w:vAlign w:val="center"/>
          </w:tcPr>
          <w:p>
            <w:pPr>
              <w:jc w:val="left"/>
            </w:pPr>
            <w:r/>
            <w:r>
              <w:rPr>
                <w:rFonts w:ascii="Avenir Next" w:hAnsi="Avenir Next"/>
                <w:b w:val="0"/>
                <w:color w:val="1A202C"/>
                <w:sz w:val="18"/>
              </w:rPr>
              <w:t>03</w:t>
            </w:r>
          </w:p>
        </w:tc>
        <w:tc>
          <w:tcPr>
            <w:tcW w:type="dxa" w:w="2033"/>
            <w:shd w:fill="F7FAFC"/>
            <w:vAlign w:val="center"/>
          </w:tcPr>
          <w:p>
            <w:pPr>
              <w:jc w:val="left"/>
            </w:pPr>
            <w:r/>
            <w:r>
              <w:rPr>
                <w:rFonts w:ascii="Avenir Next" w:hAnsi="Avenir Next"/>
                <w:b w:val="0"/>
                <w:color w:val="1A202C"/>
                <w:sz w:val="18"/>
              </w:rPr>
              <w:t>Competitive Benchmarking: AI Productivity Tools, Pricing Architecture, and Strategic White Space</w:t>
            </w:r>
          </w:p>
        </w:tc>
        <w:tc>
          <w:tcPr>
            <w:tcW w:type="dxa" w:w="2033"/>
            <w:shd w:fill="F7FAFC"/>
            <w:vAlign w:val="center"/>
          </w:tcPr>
          <w:p>
            <w:pPr>
              <w:jc w:val="left"/>
            </w:pPr>
            <w:r/>
            <w:r>
              <w:rPr>
                <w:rFonts w:ascii="Avenir Next" w:hAnsi="Avenir Next"/>
                <w:b w:val="0"/>
                <w:color w:val="1A202C"/>
                <w:sz w:val="18"/>
              </w:rPr>
              <w:t>Self-initiated</w:t>
            </w:r>
          </w:p>
        </w:tc>
        <w:tc>
          <w:tcPr>
            <w:tcW w:type="dxa" w:w="2033"/>
            <w:shd w:fill="F7FAFC"/>
            <w:vAlign w:val="center"/>
          </w:tcPr>
          <w:p>
            <w:pPr>
              <w:jc w:val="left"/>
            </w:pPr>
            <w:r/>
            <w:r>
              <w:rPr>
                <w:rFonts w:ascii="Avenir Next" w:hAnsi="Avenir Next"/>
                <w:b w:val="0"/>
                <w:color w:val="1A202C"/>
                <w:sz w:val="18"/>
              </w:rPr>
              <w:t>Benchmarking Study</w:t>
            </w:r>
          </w:p>
        </w:tc>
        <w:tc>
          <w:tcPr>
            <w:tcW w:type="dxa" w:w="2033"/>
            <w:shd w:fill="F7FAFC"/>
            <w:vAlign w:val="center"/>
          </w:tcPr>
          <w:p>
            <w:pPr>
              <w:jc w:val="left"/>
            </w:pPr>
            <w:r/>
            <w:r>
              <w:rPr>
                <w:rFonts w:ascii="Avenir Next" w:hAnsi="Avenir Next"/>
                <w:b w:val="0"/>
                <w:color w:val="1A202C"/>
                <w:sz w:val="18"/>
              </w:rPr>
              <w:t>This benchmarking study reframes the AI productivity market from a competitor list into a comparison system.</w:t>
            </w:r>
          </w:p>
        </w:tc>
      </w:tr>
      <w:tr>
        <w:tc>
          <w:tcPr>
            <w:tcW w:type="dxa" w:w="2033"/>
            <w:vAlign w:val="center"/>
          </w:tcPr>
          <w:p>
            <w:pPr>
              <w:jc w:val="left"/>
            </w:pPr>
            <w:r/>
            <w:r>
              <w:rPr>
                <w:rFonts w:ascii="Avenir Next" w:hAnsi="Avenir Next"/>
                <w:b w:val="0"/>
                <w:color w:val="1A202C"/>
                <w:sz w:val="18"/>
              </w:rPr>
              <w:t>04</w:t>
            </w:r>
          </w:p>
        </w:tc>
        <w:tc>
          <w:tcPr>
            <w:tcW w:type="dxa" w:w="2033"/>
            <w:vAlign w:val="center"/>
          </w:tcPr>
          <w:p>
            <w:pPr>
              <w:jc w:val="left"/>
            </w:pPr>
            <w:r/>
            <w:r>
              <w:rPr>
                <w:rFonts w:ascii="Avenir Next" w:hAnsi="Avenir Next"/>
                <w:b w:val="0"/>
                <w:color w:val="1A202C"/>
                <w:sz w:val="18"/>
              </w:rPr>
              <w:t>Pricing Strategy: Value Drivers, Segmentation, and Tier Design for B2B SaaS</w:t>
            </w:r>
          </w:p>
        </w:tc>
        <w:tc>
          <w:tcPr>
            <w:tcW w:type="dxa" w:w="2033"/>
            <w:vAlign w:val="center"/>
          </w:tcPr>
          <w:p>
            <w:pPr>
              <w:jc w:val="left"/>
            </w:pPr>
            <w:r/>
            <w:r>
              <w:rPr>
                <w:rFonts w:ascii="Avenir Next" w:hAnsi="Avenir Next"/>
                <w:b w:val="0"/>
                <w:color w:val="1A202C"/>
                <w:sz w:val="18"/>
              </w:rPr>
              <w:t>Self-initiated</w:t>
            </w:r>
          </w:p>
        </w:tc>
        <w:tc>
          <w:tcPr>
            <w:tcW w:type="dxa" w:w="2033"/>
            <w:vAlign w:val="center"/>
          </w:tcPr>
          <w:p>
            <w:pPr>
              <w:jc w:val="left"/>
            </w:pPr>
            <w:r/>
            <w:r>
              <w:rPr>
                <w:rFonts w:ascii="Avenir Next" w:hAnsi="Avenir Next"/>
                <w:b w:val="0"/>
                <w:color w:val="1A202C"/>
                <w:sz w:val="18"/>
              </w:rPr>
              <w:t>Strategy Memo</w:t>
            </w:r>
          </w:p>
        </w:tc>
        <w:tc>
          <w:tcPr>
            <w:tcW w:type="dxa" w:w="2033"/>
            <w:vAlign w:val="center"/>
          </w:tcPr>
          <w:p>
            <w:pPr>
              <w:jc w:val="left"/>
            </w:pPr>
            <w:r/>
            <w:r>
              <w:rPr>
                <w:rFonts w:ascii="Avenir Next" w:hAnsi="Avenir Next"/>
                <w:b w:val="0"/>
                <w:color w:val="1A202C"/>
                <w:sz w:val="18"/>
              </w:rPr>
              <w:t>This memo recommends a three-tier pricing architecture for a B2B workflow SaaS product serving professional-services firms.</w:t>
            </w:r>
          </w:p>
        </w:tc>
      </w:tr>
      <w:tr>
        <w:tc>
          <w:tcPr>
            <w:tcW w:type="dxa" w:w="2033"/>
            <w:shd w:fill="F7FAFC"/>
            <w:vAlign w:val="center"/>
          </w:tcPr>
          <w:p>
            <w:pPr>
              <w:jc w:val="left"/>
            </w:pPr>
            <w:r/>
            <w:r>
              <w:rPr>
                <w:rFonts w:ascii="Avenir Next" w:hAnsi="Avenir Next"/>
                <w:b w:val="0"/>
                <w:color w:val="1A202C"/>
                <w:sz w:val="18"/>
              </w:rPr>
              <w:t>05</w:t>
            </w:r>
          </w:p>
        </w:tc>
        <w:tc>
          <w:tcPr>
            <w:tcW w:type="dxa" w:w="2033"/>
            <w:shd w:fill="F7FAFC"/>
            <w:vAlign w:val="center"/>
          </w:tcPr>
          <w:p>
            <w:pPr>
              <w:jc w:val="left"/>
            </w:pPr>
            <w:r/>
            <w:r>
              <w:rPr>
                <w:rFonts w:ascii="Avenir Next" w:hAnsi="Avenir Next"/>
                <w:b w:val="0"/>
                <w:color w:val="1A202C"/>
                <w:sz w:val="18"/>
              </w:rPr>
              <w:t>Financial Regulation and Fintech Market Entry: A Comparative Analysis</w:t>
            </w:r>
          </w:p>
        </w:tc>
        <w:tc>
          <w:tcPr>
            <w:tcW w:type="dxa" w:w="2033"/>
            <w:shd w:fill="F7FAFC"/>
            <w:vAlign w:val="center"/>
          </w:tcPr>
          <w:p>
            <w:pPr>
              <w:jc w:val="left"/>
            </w:pPr>
            <w:r/>
            <w:r>
              <w:rPr>
                <w:rFonts w:ascii="Avenir Next" w:hAnsi="Avenir Next"/>
                <w:b w:val="0"/>
                <w:color w:val="1A202C"/>
                <w:sz w:val="18"/>
              </w:rPr>
              <w:t>Thesis-adapted</w:t>
            </w:r>
          </w:p>
        </w:tc>
        <w:tc>
          <w:tcPr>
            <w:tcW w:type="dxa" w:w="2033"/>
            <w:shd w:fill="F7FAFC"/>
            <w:vAlign w:val="center"/>
          </w:tcPr>
          <w:p>
            <w:pPr>
              <w:jc w:val="left"/>
            </w:pPr>
            <w:r/>
            <w:r>
              <w:rPr>
                <w:rFonts w:ascii="Avenir Next" w:hAnsi="Avenir Next"/>
                <w:b w:val="0"/>
                <w:color w:val="1A202C"/>
                <w:sz w:val="18"/>
              </w:rPr>
              <w:t>Regulatory Intelligence Brief</w:t>
            </w:r>
          </w:p>
        </w:tc>
        <w:tc>
          <w:tcPr>
            <w:tcW w:type="dxa" w:w="2033"/>
            <w:shd w:fill="F7FAFC"/>
            <w:vAlign w:val="center"/>
          </w:tcPr>
          <w:p>
            <w:pPr>
              <w:jc w:val="left"/>
            </w:pPr>
            <w:r/>
            <w:r>
              <w:rPr>
                <w:rFonts w:ascii="Avenir Next" w:hAnsi="Avenir Next"/>
                <w:b w:val="0"/>
                <w:color w:val="1A202C"/>
                <w:sz w:val="18"/>
              </w:rPr>
              <w:t>Financial regulation does not simply constrain fintech entry.</w:t>
            </w:r>
          </w:p>
        </w:tc>
      </w:tr>
      <w:tr>
        <w:tc>
          <w:tcPr>
            <w:tcW w:type="dxa" w:w="2033"/>
            <w:vAlign w:val="center"/>
          </w:tcPr>
          <w:p>
            <w:pPr>
              <w:jc w:val="left"/>
            </w:pPr>
            <w:r/>
            <w:r>
              <w:rPr>
                <w:rFonts w:ascii="Avenir Next" w:hAnsi="Avenir Next"/>
                <w:b w:val="0"/>
                <w:color w:val="1A202C"/>
                <w:sz w:val="18"/>
              </w:rPr>
              <w:t>06</w:t>
            </w:r>
          </w:p>
        </w:tc>
        <w:tc>
          <w:tcPr>
            <w:tcW w:type="dxa" w:w="2033"/>
            <w:vAlign w:val="center"/>
          </w:tcPr>
          <w:p>
            <w:pPr>
              <w:jc w:val="left"/>
            </w:pPr>
            <w:r/>
            <w:r>
              <w:rPr>
                <w:rFonts w:ascii="Avenir Next" w:hAnsi="Avenir Next"/>
                <w:b w:val="0"/>
                <w:color w:val="1A202C"/>
                <w:sz w:val="18"/>
              </w:rPr>
              <w:t>Three Factors Reshaping Competition in Latin American Fintech</w:t>
            </w:r>
          </w:p>
        </w:tc>
        <w:tc>
          <w:tcPr>
            <w:tcW w:type="dxa" w:w="2033"/>
            <w:vAlign w:val="center"/>
          </w:tcPr>
          <w:p>
            <w:pPr>
              <w:jc w:val="left"/>
            </w:pPr>
            <w:r/>
            <w:r>
              <w:rPr>
                <w:rFonts w:ascii="Avenir Next" w:hAnsi="Avenir Next"/>
                <w:b w:val="0"/>
                <w:color w:val="1A202C"/>
                <w:sz w:val="18"/>
              </w:rPr>
              <w:t>Self-initiated</w:t>
            </w:r>
          </w:p>
        </w:tc>
        <w:tc>
          <w:tcPr>
            <w:tcW w:type="dxa" w:w="2033"/>
            <w:vAlign w:val="center"/>
          </w:tcPr>
          <w:p>
            <w:pPr>
              <w:jc w:val="left"/>
            </w:pPr>
            <w:r/>
            <w:r>
              <w:rPr>
                <w:rFonts w:ascii="Avenir Next" w:hAnsi="Avenir Next"/>
                <w:b w:val="0"/>
                <w:color w:val="1A202C"/>
                <w:sz w:val="18"/>
              </w:rPr>
              <w:t>Executive Brief</w:t>
            </w:r>
          </w:p>
        </w:tc>
        <w:tc>
          <w:tcPr>
            <w:tcW w:type="dxa" w:w="2033"/>
            <w:vAlign w:val="center"/>
          </w:tcPr>
          <w:p>
            <w:pPr>
              <w:jc w:val="left"/>
            </w:pPr>
            <w:r/>
            <w:r>
              <w:rPr>
                <w:rFonts w:ascii="Avenir Next" w:hAnsi="Avenir Next"/>
                <w:b w:val="0"/>
                <w:color w:val="1A202C"/>
                <w:sz w:val="18"/>
              </w:rPr>
              <w:t>Latin American fintech competition is being reshaped by three structural forces: regulatory open banking, neobank consolidation, and embedded-finance distribution.</w:t>
            </w:r>
          </w:p>
        </w:tc>
      </w:tr>
    </w:tbl>
    <w:p>
      <w:pPr>
        <w:spacing w:after="40"/>
        <w:jc w:val="left"/>
      </w:pPr>
      <w:r>
        <w:rPr>
          <w:rFonts w:ascii="Avenir Next" w:hAnsi="Avenir Next"/>
          <w:b w:val="0"/>
          <w:color w:val="1A202C"/>
          <w:sz w:val="21"/>
        </w:rPr>
      </w:r>
    </w:p>
    <w:p>
      <w:pPr>
        <w:pStyle w:val="Heading1"/>
        <w:spacing w:before="200" w:after="80"/>
      </w:pPr>
      <w:r>
        <w:t>Reading Paths by Audience</w:t>
      </w:r>
    </w:p>
    <w:p>
      <w:pPr>
        <w:spacing w:after="0"/>
        <w:jc w:val="left"/>
      </w:pPr>
      <w:r>
        <w:rPr>
          <w:rFonts w:ascii="Avenir Next" w:hAnsi="Avenir Next"/>
          <w:b w:val="0"/>
          <w:color w:val="1A202C"/>
          <w:sz w:val="21"/>
        </w:rPr>
      </w:r>
    </w:p>
    <w:p>
      <w:pPr>
        <w:spacing w:after="40"/>
        <w:jc w:val="left"/>
      </w:pPr>
      <w:r>
        <w:rPr>
          <w:rFonts w:ascii="Avenir Next" w:hAnsi="Avenir Next"/>
          <w:b/>
          <w:color w:val="4A5568"/>
          <w:sz w:val="18"/>
        </w:rPr>
        <w:t>Suggested reading sequences</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1A2332"/>
            <w:vAlign w:val="center"/>
          </w:tcPr>
          <w:p>
            <w:pPr>
              <w:jc w:val="center"/>
            </w:pPr>
            <w:r/>
            <w:r>
              <w:rPr>
                <w:rFonts w:ascii="Avenir Next" w:hAnsi="Avenir Next"/>
                <w:b/>
                <w:color w:val="FFFFFF"/>
                <w:sz w:val="19"/>
              </w:rPr>
              <w:t>Audience</w:t>
            </w:r>
          </w:p>
        </w:tc>
        <w:tc>
          <w:tcPr>
            <w:tcW w:type="dxa" w:w="2541"/>
            <w:shd w:fill="1A2332"/>
            <w:vAlign w:val="center"/>
          </w:tcPr>
          <w:p>
            <w:pPr>
              <w:jc w:val="center"/>
            </w:pPr>
            <w:r/>
            <w:r>
              <w:rPr>
                <w:rFonts w:ascii="Avenir Next" w:hAnsi="Avenir Next"/>
                <w:b/>
                <w:color w:val="FFFFFF"/>
                <w:sz w:val="19"/>
              </w:rPr>
              <w:t>Start with</w:t>
            </w:r>
          </w:p>
        </w:tc>
        <w:tc>
          <w:tcPr>
            <w:tcW w:type="dxa" w:w="2541"/>
            <w:shd w:fill="1A2332"/>
            <w:vAlign w:val="center"/>
          </w:tcPr>
          <w:p>
            <w:pPr>
              <w:jc w:val="center"/>
            </w:pPr>
            <w:r/>
            <w:r>
              <w:rPr>
                <w:rFonts w:ascii="Avenir Next" w:hAnsi="Avenir Next"/>
                <w:b/>
                <w:color w:val="FFFFFF"/>
                <w:sz w:val="19"/>
              </w:rPr>
              <w:t>Then review</w:t>
            </w:r>
          </w:p>
        </w:tc>
        <w:tc>
          <w:tcPr>
            <w:tcW w:type="dxa" w:w="2541"/>
            <w:shd w:fill="1A2332"/>
            <w:vAlign w:val="center"/>
          </w:tcPr>
          <w:p>
            <w:pPr>
              <w:jc w:val="center"/>
            </w:pPr>
            <w:r/>
            <w:r>
              <w:rPr>
                <w:rFonts w:ascii="Avenir Next" w:hAnsi="Avenir Next"/>
                <w:b/>
                <w:color w:val="FFFFFF"/>
                <w:sz w:val="19"/>
              </w:rPr>
              <w:t>Question answered</w:t>
            </w:r>
          </w:p>
        </w:tc>
      </w:tr>
      <w:tr>
        <w:tc>
          <w:tcPr>
            <w:tcW w:type="dxa" w:w="2541"/>
            <w:shd w:fill="F7FAFC"/>
            <w:vAlign w:val="center"/>
          </w:tcPr>
          <w:p>
            <w:pPr>
              <w:jc w:val="left"/>
            </w:pPr>
            <w:r/>
            <w:r>
              <w:rPr>
                <w:rFonts w:ascii="Avenir Next" w:hAnsi="Avenir Next"/>
                <w:b w:val="0"/>
                <w:color w:val="1A202C"/>
                <w:sz w:val="18"/>
              </w:rPr>
              <w:t>Recruiter</w:t>
            </w:r>
          </w:p>
        </w:tc>
        <w:tc>
          <w:tcPr>
            <w:tcW w:type="dxa" w:w="2541"/>
            <w:shd w:fill="F7FAFC"/>
            <w:vAlign w:val="center"/>
          </w:tcPr>
          <w:p>
            <w:pPr>
              <w:jc w:val="left"/>
            </w:pPr>
            <w:r/>
            <w:r>
              <w:rPr>
                <w:rFonts w:ascii="Avenir Next" w:hAnsi="Avenir Next"/>
                <w:b w:val="0"/>
                <w:color w:val="1A202C"/>
                <w:sz w:val="18"/>
              </w:rPr>
              <w:t>This dossier</w:t>
            </w:r>
          </w:p>
        </w:tc>
        <w:tc>
          <w:tcPr>
            <w:tcW w:type="dxa" w:w="2541"/>
            <w:shd w:fill="F7FAFC"/>
            <w:vAlign w:val="center"/>
          </w:tcPr>
          <w:p>
            <w:pPr>
              <w:jc w:val="left"/>
            </w:pPr>
            <w:r/>
            <w:r>
              <w:rPr>
                <w:rFonts w:ascii="Avenir Next" w:hAnsi="Avenir Next"/>
                <w:b w:val="0"/>
                <w:color w:val="1A202C"/>
                <w:sz w:val="18"/>
              </w:rPr>
              <w:t>Assets 01 and 02</w:t>
            </w:r>
          </w:p>
        </w:tc>
        <w:tc>
          <w:tcPr>
            <w:tcW w:type="dxa" w:w="2541"/>
            <w:shd w:fill="F7FAFC"/>
            <w:vAlign w:val="center"/>
          </w:tcPr>
          <w:p>
            <w:pPr>
              <w:jc w:val="left"/>
            </w:pPr>
            <w:r/>
            <w:r>
              <w:rPr>
                <w:rFonts w:ascii="Avenir Next" w:hAnsi="Avenir Next"/>
                <w:b w:val="0"/>
                <w:color w:val="1A202C"/>
                <w:sz w:val="18"/>
              </w:rPr>
              <w:t>Can this person write, think, and deliver?</w:t>
            </w:r>
          </w:p>
        </w:tc>
      </w:tr>
      <w:tr>
        <w:tc>
          <w:tcPr>
            <w:tcW w:type="dxa" w:w="2541"/>
            <w:vAlign w:val="center"/>
          </w:tcPr>
          <w:p>
            <w:pPr>
              <w:jc w:val="left"/>
            </w:pPr>
            <w:r/>
            <w:r>
              <w:rPr>
                <w:rFonts w:ascii="Avenir Next" w:hAnsi="Avenir Next"/>
                <w:b w:val="0"/>
                <w:color w:val="1A202C"/>
                <w:sz w:val="18"/>
              </w:rPr>
              <w:t>Boutique firm</w:t>
            </w:r>
          </w:p>
        </w:tc>
        <w:tc>
          <w:tcPr>
            <w:tcW w:type="dxa" w:w="2541"/>
            <w:vAlign w:val="center"/>
          </w:tcPr>
          <w:p>
            <w:pPr>
              <w:jc w:val="left"/>
            </w:pPr>
            <w:r/>
            <w:r>
              <w:rPr>
                <w:rFonts w:ascii="Avenir Next" w:hAnsi="Avenir Next"/>
                <w:b w:val="0"/>
                <w:color w:val="1A202C"/>
                <w:sz w:val="18"/>
              </w:rPr>
              <w:t>Assets 03 and 04</w:t>
            </w:r>
          </w:p>
        </w:tc>
        <w:tc>
          <w:tcPr>
            <w:tcW w:type="dxa" w:w="2541"/>
            <w:vAlign w:val="center"/>
          </w:tcPr>
          <w:p>
            <w:pPr>
              <w:jc w:val="left"/>
            </w:pPr>
            <w:r/>
            <w:r>
              <w:rPr>
                <w:rFonts w:ascii="Avenir Next" w:hAnsi="Avenir Next"/>
                <w:b w:val="0"/>
                <w:color w:val="1A202C"/>
                <w:sz w:val="18"/>
              </w:rPr>
              <w:t>Asset 05</w:t>
            </w:r>
          </w:p>
        </w:tc>
        <w:tc>
          <w:tcPr>
            <w:tcW w:type="dxa" w:w="2541"/>
            <w:vAlign w:val="center"/>
          </w:tcPr>
          <w:p>
            <w:pPr>
              <w:jc w:val="left"/>
            </w:pPr>
            <w:r/>
            <w:r>
              <w:rPr>
                <w:rFonts w:ascii="Avenir Next" w:hAnsi="Avenir Next"/>
                <w:b w:val="0"/>
                <w:color w:val="1A202C"/>
                <w:sz w:val="18"/>
              </w:rPr>
              <w:t>Can this person support strategy-facing client work?</w:t>
            </w:r>
          </w:p>
        </w:tc>
      </w:tr>
      <w:tr>
        <w:tc>
          <w:tcPr>
            <w:tcW w:type="dxa" w:w="2541"/>
            <w:shd w:fill="F7FAFC"/>
            <w:vAlign w:val="center"/>
          </w:tcPr>
          <w:p>
            <w:pPr>
              <w:jc w:val="left"/>
            </w:pPr>
            <w:r/>
            <w:r>
              <w:rPr>
                <w:rFonts w:ascii="Avenir Next" w:hAnsi="Avenir Next"/>
                <w:b w:val="0"/>
                <w:color w:val="1A202C"/>
                <w:sz w:val="18"/>
              </w:rPr>
              <w:t>Direct client</w:t>
            </w:r>
          </w:p>
        </w:tc>
        <w:tc>
          <w:tcPr>
            <w:tcW w:type="dxa" w:w="2541"/>
            <w:shd w:fill="F7FAFC"/>
            <w:vAlign w:val="center"/>
          </w:tcPr>
          <w:p>
            <w:pPr>
              <w:jc w:val="left"/>
            </w:pPr>
            <w:r/>
            <w:r>
              <w:rPr>
                <w:rFonts w:ascii="Avenir Next" w:hAnsi="Avenir Next"/>
                <w:b w:val="0"/>
                <w:color w:val="1A202C"/>
                <w:sz w:val="18"/>
              </w:rPr>
              <w:t>Asset 01</w:t>
            </w:r>
          </w:p>
        </w:tc>
        <w:tc>
          <w:tcPr>
            <w:tcW w:type="dxa" w:w="2541"/>
            <w:shd w:fill="F7FAFC"/>
            <w:vAlign w:val="center"/>
          </w:tcPr>
          <w:p>
            <w:pPr>
              <w:jc w:val="left"/>
            </w:pPr>
            <w:r/>
            <w:r>
              <w:rPr>
                <w:rFonts w:ascii="Avenir Next" w:hAnsi="Avenir Next"/>
                <w:b w:val="0"/>
                <w:color w:val="1A202C"/>
                <w:sz w:val="18"/>
              </w:rPr>
              <w:t>Assets 03 and 04</w:t>
            </w:r>
          </w:p>
        </w:tc>
        <w:tc>
          <w:tcPr>
            <w:tcW w:type="dxa" w:w="2541"/>
            <w:shd w:fill="F7FAFC"/>
            <w:vAlign w:val="center"/>
          </w:tcPr>
          <w:p>
            <w:pPr>
              <w:jc w:val="left"/>
            </w:pPr>
            <w:r/>
            <w:r>
              <w:rPr>
                <w:rFonts w:ascii="Avenir Next" w:hAnsi="Avenir Next"/>
                <w:b w:val="0"/>
                <w:color w:val="1A202C"/>
                <w:sz w:val="18"/>
              </w:rPr>
              <w:t>Can this person produce structured, decision-ready output?</w:t>
            </w:r>
          </w:p>
        </w:tc>
      </w:tr>
    </w:tbl>
    <w:p>
      <w:pPr>
        <w:spacing w:after="40"/>
        <w:jc w:val="left"/>
      </w:pPr>
      <w:r>
        <w:rPr>
          <w:rFonts w:ascii="Avenir Next" w:hAnsi="Avenir Next"/>
          <w:b w:val="0"/>
          <w:color w:val="1A202C"/>
          <w:sz w:val="21"/>
        </w:rPr>
      </w:r>
    </w:p>
    <w:p>
      <w:pPr>
        <w:pStyle w:val="Heading1"/>
        <w:spacing w:before="200" w:after="80"/>
      </w:pPr>
      <w:r>
        <w:t>Credibility Labels</w:t>
      </w:r>
    </w:p>
    <w:p>
      <w:pPr>
        <w:spacing w:after="120"/>
        <w:jc w:val="left"/>
      </w:pPr>
      <w:r>
        <w:rPr>
          <w:rFonts w:ascii="Avenir Next" w:hAnsi="Avenir Next"/>
          <w:b w:val="0"/>
          <w:color w:val="1A202C"/>
          <w:sz w:val="21"/>
        </w:rPr>
        <w:t>Every asset is labeled by work type so the portfolio does not blur real, anonymized, thesis-adapted, and self-initiated work.</w:t>
      </w:r>
    </w:p>
    <w:p>
      <w:pPr>
        <w:pStyle w:val="ListBullet"/>
        <w:spacing w:after="40"/>
      </w:pPr>
      <w:r>
        <w:rPr>
          <w:rFonts w:ascii="Avenir Next" w:hAnsi="Avenir Next"/>
          <w:color w:val="1A202C"/>
          <w:sz w:val="20"/>
        </w:rPr>
        <w:t>Anonymized: based on real work, with sensitive context removed.</w:t>
      </w:r>
    </w:p>
    <w:p>
      <w:pPr>
        <w:pStyle w:val="ListBullet"/>
        <w:spacing w:after="40"/>
      </w:pPr>
      <w:r>
        <w:rPr>
          <w:rFonts w:ascii="Avenir Next" w:hAnsi="Avenir Next"/>
          <w:color w:val="1A202C"/>
          <w:sz w:val="20"/>
        </w:rPr>
        <w:t>Self-initiated: original sample work built from public information.</w:t>
      </w:r>
    </w:p>
    <w:p>
      <w:pPr>
        <w:pStyle w:val="ListBullet"/>
        <w:spacing w:after="40"/>
      </w:pPr>
      <w:r>
        <w:rPr>
          <w:rFonts w:ascii="Avenir Next" w:hAnsi="Avenir Next"/>
          <w:color w:val="1A202C"/>
          <w:sz w:val="20"/>
        </w:rPr>
        <w:t>Thesis-adapted: research translated from academic work into a commercial brief.</w:t>
      </w:r>
    </w:p>
    <w:p>
      <w:pPr>
        <w:pStyle w:val="Heading1"/>
        <w:spacing w:before="200" w:after="80"/>
      </w:pPr>
      <w:r>
        <w:t>Working Model</w:t>
      </w:r>
    </w:p>
    <w:p>
      <w:pPr>
        <w:pStyle w:val="ListBullet"/>
        <w:spacing w:after="40"/>
      </w:pPr>
      <w:r>
        <w:rPr>
          <w:rFonts w:ascii="Avenir Next" w:hAnsi="Avenir Next"/>
          <w:color w:val="1A202C"/>
          <w:sz w:val="20"/>
        </w:rPr>
        <w:t>Remote-first and async-friendly working style.</w:t>
      </w:r>
    </w:p>
    <w:p>
      <w:pPr>
        <w:pStyle w:val="ListBullet"/>
        <w:spacing w:after="40"/>
      </w:pPr>
      <w:r>
        <w:rPr>
          <w:rFonts w:ascii="Avenir Next" w:hAnsi="Avenir Next"/>
          <w:color w:val="1A202C"/>
          <w:sz w:val="20"/>
        </w:rPr>
        <w:t>Written deliverables as the default communication format.</w:t>
      </w:r>
    </w:p>
    <w:p>
      <w:pPr>
        <w:pStyle w:val="ListBullet"/>
        <w:spacing w:after="40"/>
      </w:pPr>
      <w:r>
        <w:rPr>
          <w:rFonts w:ascii="Avenir Next" w:hAnsi="Avenir Next"/>
          <w:color w:val="1A202C"/>
          <w:sz w:val="20"/>
        </w:rPr>
        <w:t>Strong fit for research-heavy, ambiguity-heavy, and strategy-adjacent work.</w:t>
      </w:r>
    </w:p>
    <w:p>
      <w:pPr>
        <w:pStyle w:val="ListBullet"/>
        <w:spacing w:after="40"/>
      </w:pPr>
      <w:r>
        <w:rPr>
          <w:rFonts w:ascii="Avenir Next" w:hAnsi="Avenir Next"/>
          <w:color w:val="1A202C"/>
          <w:sz w:val="20"/>
        </w:rPr>
        <w:t>Best suited to small and medium-sized teams that value autonomy and rigor.</w:t>
      </w:r>
    </w:p>
    <w:p>
      <w:pPr>
        <w:pStyle w:val="Heading1"/>
        <w:spacing w:before="200" w:after="80"/>
      </w:pPr>
      <w:r>
        <w:t>Contact</w:t>
      </w:r>
    </w:p>
    <w:p>
      <w:pPr>
        <w:spacing w:after="120"/>
        <w:jc w:val="left"/>
      </w:pPr>
      <w:r>
        <w:rPr>
          <w:rFonts w:ascii="Avenir Next" w:hAnsi="Avenir Next"/>
          <w:b w:val="0"/>
          <w:color w:val="1A202C"/>
          <w:sz w:val="21"/>
        </w:rPr>
        <w:t>For portfolio reviews or project discussions, email santiago.garces.blevine@gmail.com. Include the role or project type, timeline, and expected deliverable format.</w:t>
      </w:r>
    </w:p>
    <w:p>
      <w:pPr>
        <w:spacing w:after="120"/>
        <w:jc w:val="left"/>
      </w:pPr>
      <w:r>
        <w:rPr>
          <w:rFonts w:ascii="Avenir Next" w:hAnsi="Avenir Next"/>
          <w:b w:val="0"/>
          <w:color w:val="1A202C"/>
          <w:sz w:val="21"/>
        </w:rPr>
        <w:t>Location: Medellin, Colombia (UTC-5).</w:t>
      </w:r>
    </w:p>
    <w:p>
      <w:pPr>
        <w:pStyle w:val="Heading1"/>
        <w:spacing w:before="200" w:after="80"/>
      </w:pPr>
      <w:r>
        <w:t>Author and Contact</w:t>
      </w:r>
    </w:p>
    <w:p>
      <w:pPr>
        <w:spacing w:after="120"/>
        <w:jc w:val="left"/>
      </w:pPr>
      <w:r>
        <w:rPr>
          <w:rFonts w:ascii="Avenir Next" w:hAnsi="Avenir Next"/>
          <w:b w:val="0"/>
          <w:color w:val="1A202C"/>
          <w:sz w:val="21"/>
        </w:rPr>
        <w:t>Santiago Garces Chavarria is an analytical operator who turns fragmented market, regulatory, financial, and operational information into clear recommendations, structured deliverables, and decision-ready outputs. Based in Medellin, Colombia. Working worldwide.</w:t>
      </w:r>
    </w:p>
    <w:p>
      <w:pPr>
        <w:spacing w:after="120"/>
        <w:jc w:val="left"/>
      </w:pPr>
      <w:r>
        <w:rPr>
          <w:rFonts w:ascii="Avenir Next" w:hAnsi="Avenir Next"/>
          <w:b/>
          <w:color w:val="2C5282"/>
          <w:sz w:val="21"/>
        </w:rPr>
        <w:t>For portfolio reviews or project discussions, email santiago.garces.blevine@gmail.com. Include the role or project type, timeline, and expected deliverable format.</w:t>
      </w:r>
    </w:p>
    <w:sectPr w:rsidR="00FC693F" w:rsidRPr="0006063C" w:rsidSect="00034616">
      <w:pgSz w:w="12240" w:h="15840"/>
      <w:pgMar w:top="1080"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venir Next" w:hAnsi="Avenir Next"/>
        <w:color w:val="4A5568"/>
        <w:sz w:val="16"/>
      </w:rPr>
      <w:t>Santiago Garces Chavarria | santiago.garces.blevine@gmail.com | Portfolio Guide and Positioning Dossier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w:hAnsi="Avenir Next"/>
      <w:color w:val="1A20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venir Next" w:hAnsi="Avenir Next"/>
      <w:b/>
      <w:bCs/>
      <w:color w:val="1A233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venir Next" w:hAnsi="Avenir Next"/>
      <w:b/>
      <w:bCs/>
      <w:color w:val="2C528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