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venir Next" w:hAnsi="Avenir Next"/>
          <w:b/>
          <w:color w:val="2C5282"/>
          <w:sz w:val="19"/>
        </w:rPr>
        <w:t>OPERATIONAL INTELLIGENCE | AI WORKFLOW DESIGN | REGULATED FINANCIAL SERVICES</w:t>
      </w:r>
    </w:p>
    <w:p>
      <w:pPr>
        <w:spacing w:after="80"/>
        <w:jc w:val="left"/>
      </w:pPr>
      <w:r>
        <w:rPr>
          <w:rFonts w:ascii="Avenir Next" w:hAnsi="Avenir Next"/>
          <w:b/>
          <w:color w:val="1A2332"/>
          <w:sz w:val="48"/>
        </w:rPr>
        <w:t>Building an AI-Powered Document Routing System in a Regulated Audit Environment</w:t>
      </w:r>
    </w:p>
    <w:p>
      <w:pPr>
        <w:spacing w:after="80"/>
        <w:jc w:val="left"/>
      </w:pPr>
      <w:r>
        <w:rPr>
          <w:rFonts w:ascii="Avenir Next" w:hAnsi="Avenir Next"/>
          <w:b/>
          <w:color w:val="3182CE"/>
          <w:sz w:val="24"/>
        </w:rPr>
        <w:t>Flagship Case 01 | Operational Intelligence</w:t>
      </w:r>
    </w:p>
    <w:p>
      <w:pPr>
        <w:spacing w:after="160"/>
        <w:jc w:val="left"/>
      </w:pPr>
      <w:r>
        <w:rPr>
          <w:rFonts w:ascii="Avenir Next" w:hAnsi="Avenir Next"/>
          <w:b w:val="0"/>
          <w:color w:val="4A5568"/>
          <w:sz w:val="19"/>
        </w:rPr>
        <w:t>Santiago Garces Chavarria | santiago.garces.blevine@gmail.com | Medellin, Colombia</w:t>
      </w:r>
    </w:p>
    <w:tbl>
      <w:tblPr>
        <w:tblW w:type="auto" w:w="0"/>
        <w:jc w:val="left"/>
        <w:tblLayout w:type="autofit"/>
        <w:tblLook w:firstColumn="1" w:firstRow="1" w:lastColumn="0" w:lastRow="0" w:noHBand="0" w:noVBand="1" w:val="04A0"/>
      </w:tblPr>
      <w:tblGrid>
        <w:gridCol w:w="5083"/>
        <w:gridCol w:w="5083"/>
      </w:tblGrid>
      <w:tr>
        <w:tc>
          <w:tcPr>
            <w:tcW w:type="dxa" w:w="5083"/>
            <w:shd w:fill="2C5282"/>
            <w:vAlign w:val="center"/>
          </w:tcPr>
          <w:p>
            <w:pPr>
              <w:jc w:val="center"/>
            </w:pPr>
            <w:r/>
            <w:r>
              <w:rPr>
                <w:rFonts w:ascii="Avenir Next" w:hAnsi="Avenir Next"/>
                <w:b/>
                <w:color w:val="FFFFFF"/>
                <w:sz w:val="19"/>
              </w:rPr>
              <w:t>ANONYMIZED REAL WORK</w:t>
            </w:r>
          </w:p>
        </w:tc>
        <w:tc>
          <w:tcPr>
            <w:tcW w:type="dxa" w:w="5083"/>
            <w:shd w:fill="F7FAFC"/>
            <w:vAlign w:val="center"/>
          </w:tcPr>
          <w:p>
            <w:pPr>
              <w:jc w:val="left"/>
            </w:pPr>
            <w:r/>
            <w:r>
              <w:rPr>
                <w:rFonts w:ascii="Avenir Next" w:hAnsi="Avenir Next"/>
                <w:b w:val="0"/>
                <w:color w:val="1A202C"/>
                <w:sz w:val="19"/>
              </w:rPr>
              <w:t>Based on real operating work in a regulated financial-services environment. Sensitive context is anonymized; metrics are preserved.</w:t>
            </w:r>
          </w:p>
        </w:tc>
      </w:tr>
    </w:tbl>
    <w:p>
      <w:pPr>
        <w:spacing w:after="40"/>
        <w:jc w:val="left"/>
      </w:pPr>
      <w:r>
        <w:rPr>
          <w:rFonts w:ascii="Avenir Next" w:hAnsi="Avenir Next"/>
          <w:b w:val="0"/>
          <w:color w:val="1A202C"/>
          <w:sz w:val="21"/>
        </w:rPr>
      </w:r>
    </w:p>
    <w:tbl>
      <w:tblPr>
        <w:tblW w:type="auto" w:w="0"/>
        <w:jc w:val="left"/>
        <w:tblLayout w:type="autofit"/>
        <w:tblLook w:firstColumn="1" w:firstRow="1" w:lastColumn="0" w:lastRow="0" w:noHBand="0" w:noVBand="1" w:val="04A0"/>
      </w:tblPr>
      <w:tblGrid>
        <w:gridCol w:w="5083"/>
        <w:gridCol w:w="5083"/>
      </w:tblGrid>
      <w:tr>
        <w:tc>
          <w:tcPr>
            <w:tcW w:type="dxa" w:w="5083"/>
            <w:shd w:fill="F7FAFC"/>
          </w:tcPr>
          <w:p>
            <w:pPr>
              <w:jc w:val="left"/>
            </w:pPr>
            <w:r/>
            <w:r>
              <w:rPr>
                <w:rFonts w:ascii="Avenir Next" w:hAnsi="Avenir Next"/>
                <w:b/>
                <w:color w:val="1A2332"/>
                <w:sz w:val="30"/>
              </w:rPr>
              <w:t>657+</w:t>
            </w:r>
          </w:p>
          <w:p>
            <w:pPr>
              <w:spacing w:before="40"/>
            </w:pPr>
            <w:r>
              <w:rPr>
                <w:rFonts w:ascii="Avenir Next" w:hAnsi="Avenir Next"/>
                <w:color w:val="4A5568"/>
                <w:sz w:val="18"/>
              </w:rPr>
              <w:t>audit requirements managed</w:t>
            </w:r>
          </w:p>
        </w:tc>
        <w:tc>
          <w:tcPr>
            <w:tcW w:type="dxa" w:w="5083"/>
            <w:shd w:fill="F7FAFC"/>
          </w:tcPr>
          <w:p>
            <w:pPr>
              <w:jc w:val="left"/>
            </w:pPr>
            <w:r/>
            <w:r>
              <w:rPr>
                <w:rFonts w:ascii="Avenir Next" w:hAnsi="Avenir Next"/>
                <w:b/>
                <w:color w:val="1A2332"/>
                <w:sz w:val="30"/>
              </w:rPr>
              <w:t>97%+</w:t>
            </w:r>
          </w:p>
          <w:p>
            <w:pPr>
              <w:spacing w:before="40"/>
            </w:pPr>
            <w:r>
              <w:rPr>
                <w:rFonts w:ascii="Avenir Next" w:hAnsi="Avenir Next"/>
                <w:color w:val="4A5568"/>
                <w:sz w:val="18"/>
              </w:rPr>
              <w:t>assignment accuracy</w:t>
            </w:r>
          </w:p>
        </w:tc>
      </w:tr>
      <w:tr>
        <w:tc>
          <w:tcPr>
            <w:tcW w:type="dxa" w:w="5083"/>
            <w:shd w:fill="F7FAFC"/>
          </w:tcPr>
          <w:p>
            <w:pPr>
              <w:jc w:val="left"/>
            </w:pPr>
            <w:r/>
            <w:r>
              <w:rPr>
                <w:rFonts w:ascii="Avenir Next" w:hAnsi="Avenir Next"/>
                <w:b/>
                <w:color w:val="1A2332"/>
                <w:sz w:val="30"/>
              </w:rPr>
              <w:t>24+ hrs</w:t>
            </w:r>
          </w:p>
          <w:p>
            <w:pPr>
              <w:spacing w:before="40"/>
            </w:pPr>
            <w:r>
              <w:rPr>
                <w:rFonts w:ascii="Avenir Next" w:hAnsi="Avenir Next"/>
                <w:color w:val="4A5568"/>
                <w:sz w:val="18"/>
              </w:rPr>
              <w:t>manual work removed weekly</w:t>
            </w:r>
          </w:p>
        </w:tc>
        <w:tc>
          <w:tcPr>
            <w:tcW w:type="dxa" w:w="5083"/>
            <w:shd w:fill="F7FAFC"/>
          </w:tcPr>
          <w:p>
            <w:pPr>
              <w:jc w:val="left"/>
            </w:pPr>
            <w:r/>
            <w:r>
              <w:rPr>
                <w:rFonts w:ascii="Avenir Next" w:hAnsi="Avenir Next"/>
                <w:b/>
                <w:color w:val="1A2332"/>
                <w:sz w:val="30"/>
              </w:rPr>
              <w:t>&lt;3%</w:t>
            </w:r>
          </w:p>
          <w:p>
            <w:pPr>
              <w:spacing w:before="40"/>
            </w:pPr>
            <w:r>
              <w:rPr>
                <w:rFonts w:ascii="Avenir Next" w:hAnsi="Avenir Next"/>
                <w:color w:val="4A5568"/>
                <w:sz w:val="18"/>
              </w:rPr>
              <w:t>misroute escalation rate</w:t>
            </w:r>
          </w:p>
        </w:tc>
      </w:tr>
    </w:tbl>
    <w:p>
      <w:pPr>
        <w:spacing w:after="40"/>
        <w:jc w:val="left"/>
      </w:pPr>
      <w:r>
        <w:rPr>
          <w:rFonts w:ascii="Avenir Next" w:hAnsi="Avenir Next"/>
          <w:b w:val="0"/>
          <w:color w:val="1A202C"/>
          <w:sz w:val="21"/>
        </w:rPr>
      </w:r>
    </w:p>
    <w:p>
      <w:pPr>
        <w:pStyle w:val="Heading1"/>
        <w:spacing w:before="200" w:after="80"/>
      </w:pPr>
      <w:r>
        <w:t>Executive Summary</w:t>
      </w:r>
    </w:p>
    <w:p>
      <w:pPr>
        <w:spacing w:after="160"/>
        <w:jc w:val="left"/>
      </w:pPr>
      <w:r>
        <w:rPr>
          <w:rFonts w:ascii="Avenir Next" w:hAnsi="Avenir Next"/>
          <w:b w:val="0"/>
          <w:color w:val="1A202C"/>
          <w:sz w:val="21"/>
        </w:rPr>
        <w:t>A regulated financial-services environment was processing more than 650 audit requirements annually through a manual classification and routing workflow. The legacy process consumed senior staff time, introduced inconsistency, and slowed response cycles under external audit pressure. Santiago designed a multi-agent workflow that combined LLM-based classification, rule-based routing, and confidence-based validation. The system reduced handling time from roughly 15-20 minutes per item to 30-45 seconds, increased assignment accuracy above 97%, and cut misroutes to below 3% while preserving a review layer for low-confidence cases.</w:t>
      </w:r>
    </w:p>
    <w:p>
      <w:pPr>
        <w:sectPr>
          <w:footerReference w:type="default" r:id="rId9"/>
          <w:pgSz w:w="12240" w:h="15840"/>
          <w:pgMar w:top="1080" w:right="1037" w:bottom="936" w:left="1037" w:header="720" w:footer="720" w:gutter="0"/>
          <w:cols w:space="720"/>
          <w:docGrid w:linePitch="360"/>
        </w:sectPr>
      </w:pPr>
    </w:p>
    <w:p>
      <w:pPr>
        <w:pStyle w:val="Heading1"/>
        <w:spacing w:before="200" w:after="80"/>
      </w:pPr>
      <w:r>
        <w:t>Business Question</w:t>
      </w:r>
    </w:p>
    <w:p>
      <w:pPr>
        <w:spacing w:after="120"/>
        <w:jc w:val="left"/>
      </w:pPr>
      <w:r>
        <w:rPr>
          <w:rFonts w:ascii="Avenir Next" w:hAnsi="Avenir Next"/>
          <w:b w:val="0"/>
          <w:color w:val="1A202C"/>
          <w:sz w:val="21"/>
        </w:rPr>
        <w:t>How do you reduce routing cycle time in a regulated environment without weakening control quality, traceability, or accountability?</w:t>
      </w:r>
    </w:p>
    <w:p>
      <w:pPr>
        <w:spacing w:after="120"/>
        <w:jc w:val="left"/>
      </w:pPr>
      <w:r>
        <w:rPr>
          <w:rFonts w:ascii="Avenir Next" w:hAnsi="Avenir Next"/>
          <w:b w:val="0"/>
          <w:color w:val="1A202C"/>
          <w:sz w:val="21"/>
        </w:rPr>
        <w:t>The objective was not to add AI theater to an existing workflow. The objective was to remove a mechanical bottleneck that consumed expensive staff time and slowed audit responsiveness.</w:t>
      </w:r>
    </w:p>
    <w:p>
      <w:pPr>
        <w:pStyle w:val="Heading1"/>
        <w:spacing w:before="200" w:after="80"/>
      </w:pPr>
      <w:r>
        <w:t>Operating Context</w:t>
      </w:r>
    </w:p>
    <w:p>
      <w:pPr>
        <w:spacing w:after="120"/>
        <w:jc w:val="left"/>
      </w:pPr>
      <w:r>
        <w:rPr>
          <w:rFonts w:ascii="Avenir Next" w:hAnsi="Avenir Next"/>
          <w:b w:val="0"/>
          <w:color w:val="1A202C"/>
          <w:sz w:val="21"/>
        </w:rPr>
        <w:t>The environment processed PwC fiscal audit requirements spanning legal, finance, operations, and control functions. Every incoming item had to be read, categorized, prioritized, assigned, and followed up by someone who understood the operating context.</w:t>
      </w:r>
    </w:p>
    <w:p>
      <w:pPr>
        <w:spacing w:after="120"/>
        <w:jc w:val="left"/>
      </w:pPr>
      <w:r>
        <w:rPr>
          <w:rFonts w:ascii="Avenir Next" w:hAnsi="Avenir Next"/>
          <w:b w:val="0"/>
          <w:color w:val="1A202C"/>
          <w:sz w:val="21"/>
        </w:rPr>
        <w:t>This made the legacy workflow dependable but expensive. Judgment and mechanics were bundled together, so senior staff spent time sorting rather than resolving.</w:t>
      </w:r>
    </w:p>
    <w:p>
      <w:pPr>
        <w:pStyle w:val="ListBullet"/>
        <w:spacing w:after="40"/>
      </w:pPr>
      <w:r>
        <w:rPr>
          <w:rFonts w:ascii="Avenir Next" w:hAnsi="Avenir Next"/>
          <w:color w:val="1A202C"/>
          <w:sz w:val="20"/>
        </w:rPr>
        <w:t>657+ requirements managed annually in the observed operating context.</w:t>
      </w:r>
    </w:p>
    <w:p>
      <w:pPr>
        <w:pStyle w:val="ListBullet"/>
        <w:spacing w:after="40"/>
      </w:pPr>
      <w:r>
        <w:rPr>
          <w:rFonts w:ascii="Avenir Next" w:hAnsi="Avenir Next"/>
          <w:color w:val="1A202C"/>
          <w:sz w:val="20"/>
        </w:rPr>
        <w:t>15-20 minutes per item in the legacy workflow.</w:t>
      </w:r>
    </w:p>
    <w:p>
      <w:pPr>
        <w:pStyle w:val="ListBullet"/>
        <w:spacing w:after="40"/>
      </w:pPr>
      <w:r>
        <w:rPr>
          <w:rFonts w:ascii="Avenir Next" w:hAnsi="Avenir Next"/>
          <w:color w:val="1A202C"/>
          <w:sz w:val="20"/>
        </w:rPr>
        <w:t>Repeated escalations when similar requirements were routed inconsistently.</w:t>
      </w:r>
    </w:p>
    <w:p>
      <w:pPr>
        <w:pStyle w:val="ListBullet"/>
        <w:spacing w:after="40"/>
      </w:pPr>
      <w:r>
        <w:rPr>
          <w:rFonts w:ascii="Avenir Next" w:hAnsi="Avenir Next"/>
          <w:color w:val="1A202C"/>
          <w:sz w:val="20"/>
        </w:rPr>
        <w:t>Growing volume implied direct headcount pressure unless the workflow changed.</w:t>
      </w:r>
    </w:p>
    <w:p>
      <w:pPr>
        <w:pStyle w:val="Heading1"/>
        <w:spacing w:before="200" w:after="80"/>
      </w:pPr>
      <w:r>
        <w:t>Measurement Basis</w:t>
      </w:r>
    </w:p>
    <w:p>
      <w:pPr>
        <w:spacing w:after="120"/>
        <w:jc w:val="left"/>
      </w:pPr>
      <w:r>
        <w:rPr>
          <w:rFonts w:ascii="Avenir Next" w:hAnsi="Avenir Next"/>
          <w:b w:val="0"/>
          <w:color w:val="1A202C"/>
          <w:sz w:val="21"/>
        </w:rPr>
        <w:t>The results should be read as workflow metrics, not model-lab metrics. The accuracy figure refers to final assignment accuracy against the internal routing expectation in production-like handling, not to benchmark accuracy on an offline academic dataset.</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Measurement basis</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Metric</w:t>
            </w:r>
          </w:p>
        </w:tc>
        <w:tc>
          <w:tcPr>
            <w:tcW w:type="dxa" w:w="3389"/>
            <w:shd w:fill="1A2332"/>
            <w:vAlign w:val="center"/>
          </w:tcPr>
          <w:p>
            <w:pPr>
              <w:jc w:val="center"/>
            </w:pPr>
            <w:r/>
            <w:r>
              <w:rPr>
                <w:rFonts w:ascii="Avenir Next" w:hAnsi="Avenir Next"/>
                <w:b/>
                <w:color w:val="FFFFFF"/>
                <w:sz w:val="19"/>
              </w:rPr>
              <w:t>Observed basis</w:t>
            </w:r>
          </w:p>
        </w:tc>
        <w:tc>
          <w:tcPr>
            <w:tcW w:type="dxa" w:w="3389"/>
            <w:shd w:fill="1A2332"/>
            <w:vAlign w:val="center"/>
          </w:tcPr>
          <w:p>
            <w:pPr>
              <w:jc w:val="center"/>
            </w:pPr>
            <w:r/>
            <w:r>
              <w:rPr>
                <w:rFonts w:ascii="Avenir Next" w:hAnsi="Avenir Next"/>
                <w:b/>
                <w:color w:val="FFFFFF"/>
                <w:sz w:val="19"/>
              </w:rPr>
              <w:t>Interpretation</w:t>
            </w:r>
          </w:p>
        </w:tc>
      </w:tr>
      <w:tr>
        <w:tc>
          <w:tcPr>
            <w:tcW w:type="dxa" w:w="3389"/>
            <w:shd w:fill="F7FAFC"/>
            <w:vAlign w:val="center"/>
          </w:tcPr>
          <w:p>
            <w:pPr>
              <w:jc w:val="left"/>
            </w:pPr>
            <w:r/>
            <w:r>
              <w:rPr>
                <w:rFonts w:ascii="Avenir Next" w:hAnsi="Avenir Next"/>
                <w:b w:val="0"/>
                <w:color w:val="1A202C"/>
                <w:sz w:val="18"/>
              </w:rPr>
              <w:t>Assignment accuracy</w:t>
            </w:r>
          </w:p>
        </w:tc>
        <w:tc>
          <w:tcPr>
            <w:tcW w:type="dxa" w:w="3389"/>
            <w:shd w:fill="F7FAFC"/>
            <w:vAlign w:val="center"/>
          </w:tcPr>
          <w:p>
            <w:pPr>
              <w:jc w:val="left"/>
            </w:pPr>
            <w:r/>
            <w:r>
              <w:rPr>
                <w:rFonts w:ascii="Avenir Next" w:hAnsi="Avenir Next"/>
                <w:b w:val="0"/>
                <w:color w:val="1A202C"/>
                <w:sz w:val="18"/>
              </w:rPr>
              <w:t>97%+ against expected owner routing</w:t>
            </w:r>
          </w:p>
        </w:tc>
        <w:tc>
          <w:tcPr>
            <w:tcW w:type="dxa" w:w="3389"/>
            <w:shd w:fill="F7FAFC"/>
            <w:vAlign w:val="center"/>
          </w:tcPr>
          <w:p>
            <w:pPr>
              <w:jc w:val="left"/>
            </w:pPr>
            <w:r/>
            <w:r>
              <w:rPr>
                <w:rFonts w:ascii="Avenir Next" w:hAnsi="Avenir Next"/>
                <w:b w:val="0"/>
                <w:color w:val="1A202C"/>
                <w:sz w:val="18"/>
              </w:rPr>
              <w:t>Correctly assigned to the accountable function</w:t>
            </w:r>
          </w:p>
        </w:tc>
      </w:tr>
      <w:tr>
        <w:tc>
          <w:tcPr>
            <w:tcW w:type="dxa" w:w="3389"/>
            <w:vAlign w:val="center"/>
          </w:tcPr>
          <w:p>
            <w:pPr>
              <w:jc w:val="left"/>
            </w:pPr>
            <w:r/>
            <w:r>
              <w:rPr>
                <w:rFonts w:ascii="Avenir Next" w:hAnsi="Avenir Next"/>
                <w:b w:val="0"/>
                <w:color w:val="1A202C"/>
                <w:sz w:val="18"/>
              </w:rPr>
              <w:t>Processing time</w:t>
            </w:r>
          </w:p>
        </w:tc>
        <w:tc>
          <w:tcPr>
            <w:tcW w:type="dxa" w:w="3389"/>
            <w:vAlign w:val="center"/>
          </w:tcPr>
          <w:p>
            <w:pPr>
              <w:jc w:val="left"/>
            </w:pPr>
            <w:r/>
            <w:r>
              <w:rPr>
                <w:rFonts w:ascii="Avenir Next" w:hAnsi="Avenir Next"/>
                <w:b w:val="0"/>
                <w:color w:val="1A202C"/>
                <w:sz w:val="18"/>
              </w:rPr>
              <w:t>30-45 seconds per item after automation</w:t>
            </w:r>
          </w:p>
        </w:tc>
        <w:tc>
          <w:tcPr>
            <w:tcW w:type="dxa" w:w="3389"/>
            <w:vAlign w:val="center"/>
          </w:tcPr>
          <w:p>
            <w:pPr>
              <w:jc w:val="left"/>
            </w:pPr>
            <w:r/>
            <w:r>
              <w:rPr>
                <w:rFonts w:ascii="Avenir Next" w:hAnsi="Avenir Next"/>
                <w:b w:val="0"/>
                <w:color w:val="1A202C"/>
                <w:sz w:val="18"/>
              </w:rPr>
              <w:t>Includes classification and route generation</w:t>
            </w:r>
          </w:p>
        </w:tc>
      </w:tr>
      <w:tr>
        <w:tc>
          <w:tcPr>
            <w:tcW w:type="dxa" w:w="3389"/>
            <w:shd w:fill="F7FAFC"/>
            <w:vAlign w:val="center"/>
          </w:tcPr>
          <w:p>
            <w:pPr>
              <w:jc w:val="left"/>
            </w:pPr>
            <w:r/>
            <w:r>
              <w:rPr>
                <w:rFonts w:ascii="Avenir Next" w:hAnsi="Avenir Next"/>
                <w:b w:val="0"/>
                <w:color w:val="1A202C"/>
                <w:sz w:val="18"/>
              </w:rPr>
              <w:t>Misroute escalation</w:t>
            </w:r>
          </w:p>
        </w:tc>
        <w:tc>
          <w:tcPr>
            <w:tcW w:type="dxa" w:w="3389"/>
            <w:shd w:fill="F7FAFC"/>
            <w:vAlign w:val="center"/>
          </w:tcPr>
          <w:p>
            <w:pPr>
              <w:jc w:val="left"/>
            </w:pPr>
            <w:r/>
            <w:r>
              <w:rPr>
                <w:rFonts w:ascii="Avenir Next" w:hAnsi="Avenir Next"/>
                <w:b w:val="0"/>
                <w:color w:val="1A202C"/>
                <w:sz w:val="18"/>
              </w:rPr>
              <w:t>&lt;3% after automation</w:t>
            </w:r>
          </w:p>
        </w:tc>
        <w:tc>
          <w:tcPr>
            <w:tcW w:type="dxa" w:w="3389"/>
            <w:shd w:fill="F7FAFC"/>
            <w:vAlign w:val="center"/>
          </w:tcPr>
          <w:p>
            <w:pPr>
              <w:jc w:val="left"/>
            </w:pPr>
            <w:r/>
            <w:r>
              <w:rPr>
                <w:rFonts w:ascii="Avenir Next" w:hAnsi="Avenir Next"/>
                <w:b w:val="0"/>
                <w:color w:val="1A202C"/>
                <w:sz w:val="18"/>
              </w:rPr>
              <w:t>Items requiring reroute or corrective handling</w:t>
            </w:r>
          </w:p>
        </w:tc>
      </w:tr>
      <w:tr>
        <w:tc>
          <w:tcPr>
            <w:tcW w:type="dxa" w:w="3389"/>
            <w:vAlign w:val="center"/>
          </w:tcPr>
          <w:p>
            <w:pPr>
              <w:jc w:val="left"/>
            </w:pPr>
            <w:r/>
            <w:r>
              <w:rPr>
                <w:rFonts w:ascii="Avenir Next" w:hAnsi="Avenir Next"/>
                <w:b w:val="0"/>
                <w:color w:val="1A202C"/>
                <w:sz w:val="18"/>
              </w:rPr>
              <w:t>Human review</w:t>
            </w:r>
          </w:p>
        </w:tc>
        <w:tc>
          <w:tcPr>
            <w:tcW w:type="dxa" w:w="3389"/>
            <w:vAlign w:val="center"/>
          </w:tcPr>
          <w:p>
            <w:pPr>
              <w:jc w:val="left"/>
            </w:pPr>
            <w:r/>
            <w:r>
              <w:rPr>
                <w:rFonts w:ascii="Avenir Next" w:hAnsi="Avenir Next"/>
                <w:b w:val="0"/>
                <w:color w:val="1A202C"/>
                <w:sz w:val="18"/>
              </w:rPr>
              <w:t>Triggered below confidence threshold</w:t>
            </w:r>
          </w:p>
        </w:tc>
        <w:tc>
          <w:tcPr>
            <w:tcW w:type="dxa" w:w="3389"/>
            <w:vAlign w:val="center"/>
          </w:tcPr>
          <w:p>
            <w:pPr>
              <w:jc w:val="left"/>
            </w:pPr>
            <w:r/>
            <w:r>
              <w:rPr>
                <w:rFonts w:ascii="Avenir Next" w:hAnsi="Avenir Next"/>
                <w:b w:val="0"/>
                <w:color w:val="1A202C"/>
                <w:sz w:val="18"/>
              </w:rPr>
              <w:t>Control feature, not failure mode</w:t>
            </w:r>
          </w:p>
        </w:tc>
      </w:tr>
    </w:tbl>
    <w:p>
      <w:pPr>
        <w:spacing w:after="40"/>
        <w:jc w:val="left"/>
      </w:pPr>
      <w:r>
        <w:rPr>
          <w:rFonts w:ascii="Avenir Next" w:hAnsi="Avenir Next"/>
          <w:b w:val="0"/>
          <w:color w:val="1A202C"/>
          <w:sz w:val="21"/>
        </w:rPr>
      </w:r>
    </w:p>
    <w:p>
      <w:pPr>
        <w:pStyle w:val="Heading1"/>
        <w:spacing w:before="200" w:after="80"/>
      </w:pPr>
      <w:r>
        <w:t>Legacy Workflow Failure Points</w:t>
      </w:r>
    </w:p>
    <w:p>
      <w:pPr>
        <w:spacing w:after="120"/>
        <w:jc w:val="left"/>
      </w:pPr>
      <w:r>
        <w:rPr>
          <w:rFonts w:ascii="Avenir Next" w:hAnsi="Avenir Next"/>
          <w:b w:val="0"/>
          <w:color w:val="1A202C"/>
          <w:sz w:val="21"/>
        </w:rPr>
        <w:t>The legacy workflow broke down in three places. The first was speed: every item required manual reading and interpretation. The second was consistency: similar requirements could be classified differently depending on who touched them. The third was visibility: it was easy to know that an item had been sent, but harder to know whether it had been routed through a repeatable logic.</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Before-state operating metrics</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Metric</w:t>
            </w:r>
          </w:p>
        </w:tc>
        <w:tc>
          <w:tcPr>
            <w:tcW w:type="dxa" w:w="3389"/>
            <w:shd w:fill="1A2332"/>
            <w:vAlign w:val="center"/>
          </w:tcPr>
          <w:p>
            <w:pPr>
              <w:jc w:val="center"/>
            </w:pPr>
            <w:r/>
            <w:r>
              <w:rPr>
                <w:rFonts w:ascii="Avenir Next" w:hAnsi="Avenir Next"/>
                <w:b/>
                <w:color w:val="FFFFFF"/>
                <w:sz w:val="19"/>
              </w:rPr>
              <w:t>Before state</w:t>
            </w:r>
          </w:p>
        </w:tc>
        <w:tc>
          <w:tcPr>
            <w:tcW w:type="dxa" w:w="3389"/>
            <w:shd w:fill="1A2332"/>
            <w:vAlign w:val="center"/>
          </w:tcPr>
          <w:p>
            <w:pPr>
              <w:jc w:val="center"/>
            </w:pPr>
            <w:r/>
            <w:r>
              <w:rPr>
                <w:rFonts w:ascii="Avenir Next" w:hAnsi="Avenir Next"/>
                <w:b/>
                <w:color w:val="FFFFFF"/>
                <w:sz w:val="19"/>
              </w:rPr>
              <w:t>Why it mattered</w:t>
            </w:r>
          </w:p>
        </w:tc>
      </w:tr>
      <w:tr>
        <w:tc>
          <w:tcPr>
            <w:tcW w:type="dxa" w:w="3389"/>
            <w:shd w:fill="F7FAFC"/>
            <w:vAlign w:val="center"/>
          </w:tcPr>
          <w:p>
            <w:pPr>
              <w:jc w:val="left"/>
            </w:pPr>
            <w:r/>
            <w:r>
              <w:rPr>
                <w:rFonts w:ascii="Avenir Next" w:hAnsi="Avenir Next"/>
                <w:b w:val="0"/>
                <w:color w:val="1A202C"/>
                <w:sz w:val="18"/>
              </w:rPr>
              <w:t>Processing time</w:t>
            </w:r>
          </w:p>
        </w:tc>
        <w:tc>
          <w:tcPr>
            <w:tcW w:type="dxa" w:w="3389"/>
            <w:shd w:fill="F7FAFC"/>
            <w:vAlign w:val="center"/>
          </w:tcPr>
          <w:p>
            <w:pPr>
              <w:jc w:val="left"/>
            </w:pPr>
            <w:r/>
            <w:r>
              <w:rPr>
                <w:rFonts w:ascii="Avenir Next" w:hAnsi="Avenir Next"/>
                <w:b w:val="0"/>
                <w:color w:val="1A202C"/>
                <w:sz w:val="18"/>
              </w:rPr>
              <w:t>15-20 minutes</w:t>
            </w:r>
          </w:p>
        </w:tc>
        <w:tc>
          <w:tcPr>
            <w:tcW w:type="dxa" w:w="3389"/>
            <w:shd w:fill="F7FAFC"/>
            <w:vAlign w:val="center"/>
          </w:tcPr>
          <w:p>
            <w:pPr>
              <w:jc w:val="left"/>
            </w:pPr>
            <w:r/>
            <w:r>
              <w:rPr>
                <w:rFonts w:ascii="Avenir Next" w:hAnsi="Avenir Next"/>
                <w:b w:val="0"/>
                <w:color w:val="1A202C"/>
                <w:sz w:val="18"/>
              </w:rPr>
              <w:t>Delayed routing and slow response ownership</w:t>
            </w:r>
          </w:p>
        </w:tc>
      </w:tr>
      <w:tr>
        <w:tc>
          <w:tcPr>
            <w:tcW w:type="dxa" w:w="3389"/>
            <w:vAlign w:val="center"/>
          </w:tcPr>
          <w:p>
            <w:pPr>
              <w:jc w:val="left"/>
            </w:pPr>
            <w:r/>
            <w:r>
              <w:rPr>
                <w:rFonts w:ascii="Avenir Next" w:hAnsi="Avenir Next"/>
                <w:b w:val="0"/>
                <w:color w:val="1A202C"/>
                <w:sz w:val="18"/>
              </w:rPr>
              <w:t>Weekly manual effort</w:t>
            </w:r>
          </w:p>
        </w:tc>
        <w:tc>
          <w:tcPr>
            <w:tcW w:type="dxa" w:w="3389"/>
            <w:vAlign w:val="center"/>
          </w:tcPr>
          <w:p>
            <w:pPr>
              <w:jc w:val="left"/>
            </w:pPr>
            <w:r/>
            <w:r>
              <w:rPr>
                <w:rFonts w:ascii="Avenir Next" w:hAnsi="Avenir Next"/>
                <w:b w:val="0"/>
                <w:color w:val="1A202C"/>
                <w:sz w:val="18"/>
              </w:rPr>
              <w:t>24+ hours</w:t>
            </w:r>
          </w:p>
        </w:tc>
        <w:tc>
          <w:tcPr>
            <w:tcW w:type="dxa" w:w="3389"/>
            <w:vAlign w:val="center"/>
          </w:tcPr>
          <w:p>
            <w:pPr>
              <w:jc w:val="left"/>
            </w:pPr>
            <w:r/>
            <w:r>
              <w:rPr>
                <w:rFonts w:ascii="Avenir Next" w:hAnsi="Avenir Next"/>
                <w:b w:val="0"/>
                <w:color w:val="1A202C"/>
                <w:sz w:val="18"/>
              </w:rPr>
              <w:t>High-cost staff capacity tied to low-value sorting</w:t>
            </w:r>
          </w:p>
        </w:tc>
      </w:tr>
      <w:tr>
        <w:tc>
          <w:tcPr>
            <w:tcW w:type="dxa" w:w="3389"/>
            <w:shd w:fill="F7FAFC"/>
            <w:vAlign w:val="center"/>
          </w:tcPr>
          <w:p>
            <w:pPr>
              <w:jc w:val="left"/>
            </w:pPr>
            <w:r/>
            <w:r>
              <w:rPr>
                <w:rFonts w:ascii="Avenir Next" w:hAnsi="Avenir Next"/>
                <w:b w:val="0"/>
                <w:color w:val="1A202C"/>
                <w:sz w:val="18"/>
              </w:rPr>
              <w:t>Assignment accuracy</w:t>
            </w:r>
          </w:p>
        </w:tc>
        <w:tc>
          <w:tcPr>
            <w:tcW w:type="dxa" w:w="3389"/>
            <w:shd w:fill="F7FAFC"/>
            <w:vAlign w:val="center"/>
          </w:tcPr>
          <w:p>
            <w:pPr>
              <w:jc w:val="left"/>
            </w:pPr>
            <w:r/>
            <w:r>
              <w:rPr>
                <w:rFonts w:ascii="Avenir Next" w:hAnsi="Avenir Next"/>
                <w:b w:val="0"/>
                <w:color w:val="1A202C"/>
                <w:sz w:val="18"/>
              </w:rPr>
              <w:t>~88% estimated</w:t>
            </w:r>
          </w:p>
        </w:tc>
        <w:tc>
          <w:tcPr>
            <w:tcW w:type="dxa" w:w="3389"/>
            <w:shd w:fill="F7FAFC"/>
            <w:vAlign w:val="center"/>
          </w:tcPr>
          <w:p>
            <w:pPr>
              <w:jc w:val="left"/>
            </w:pPr>
            <w:r/>
            <w:r>
              <w:rPr>
                <w:rFonts w:ascii="Avenir Next" w:hAnsi="Avenir Next"/>
                <w:b w:val="0"/>
                <w:color w:val="1A202C"/>
                <w:sz w:val="18"/>
              </w:rPr>
              <w:t>Inconsistent routing quality</w:t>
            </w:r>
          </w:p>
        </w:tc>
      </w:tr>
      <w:tr>
        <w:tc>
          <w:tcPr>
            <w:tcW w:type="dxa" w:w="3389"/>
            <w:vAlign w:val="center"/>
          </w:tcPr>
          <w:p>
            <w:pPr>
              <w:jc w:val="left"/>
            </w:pPr>
            <w:r/>
            <w:r>
              <w:rPr>
                <w:rFonts w:ascii="Avenir Next" w:hAnsi="Avenir Next"/>
                <w:b w:val="0"/>
                <w:color w:val="1A202C"/>
                <w:sz w:val="18"/>
              </w:rPr>
              <w:t>Misroute escalation</w:t>
            </w:r>
          </w:p>
        </w:tc>
        <w:tc>
          <w:tcPr>
            <w:tcW w:type="dxa" w:w="3389"/>
            <w:vAlign w:val="center"/>
          </w:tcPr>
          <w:p>
            <w:pPr>
              <w:jc w:val="left"/>
            </w:pPr>
            <w:r/>
            <w:r>
              <w:rPr>
                <w:rFonts w:ascii="Avenir Next" w:hAnsi="Avenir Next"/>
                <w:b w:val="0"/>
                <w:color w:val="1A202C"/>
                <w:sz w:val="18"/>
              </w:rPr>
              <w:t>~12%</w:t>
            </w:r>
          </w:p>
        </w:tc>
        <w:tc>
          <w:tcPr>
            <w:tcW w:type="dxa" w:w="3389"/>
            <w:vAlign w:val="center"/>
          </w:tcPr>
          <w:p>
            <w:pPr>
              <w:jc w:val="left"/>
            </w:pPr>
            <w:r/>
            <w:r>
              <w:rPr>
                <w:rFonts w:ascii="Avenir Next" w:hAnsi="Avenir Next"/>
                <w:b w:val="0"/>
                <w:color w:val="1A202C"/>
                <w:sz w:val="18"/>
              </w:rPr>
              <w:t>Rework and audit friction</w:t>
            </w:r>
          </w:p>
        </w:tc>
      </w:tr>
      <w:tr>
        <w:tc>
          <w:tcPr>
            <w:tcW w:type="dxa" w:w="3389"/>
            <w:shd w:fill="F7FAFC"/>
            <w:vAlign w:val="center"/>
          </w:tcPr>
          <w:p>
            <w:pPr>
              <w:jc w:val="left"/>
            </w:pPr>
            <w:r/>
            <w:r>
              <w:rPr>
                <w:rFonts w:ascii="Avenir Next" w:hAnsi="Avenir Next"/>
                <w:b w:val="0"/>
                <w:color w:val="1A202C"/>
                <w:sz w:val="18"/>
              </w:rPr>
              <w:t>Response cycle</w:t>
            </w:r>
          </w:p>
        </w:tc>
        <w:tc>
          <w:tcPr>
            <w:tcW w:type="dxa" w:w="3389"/>
            <w:shd w:fill="F7FAFC"/>
            <w:vAlign w:val="center"/>
          </w:tcPr>
          <w:p>
            <w:pPr>
              <w:jc w:val="left"/>
            </w:pPr>
            <w:r/>
            <w:r>
              <w:rPr>
                <w:rFonts w:ascii="Avenir Next" w:hAnsi="Avenir Next"/>
                <w:b w:val="0"/>
                <w:color w:val="1A202C"/>
                <w:sz w:val="18"/>
              </w:rPr>
              <w:t>24-48 hours</w:t>
            </w:r>
          </w:p>
        </w:tc>
        <w:tc>
          <w:tcPr>
            <w:tcW w:type="dxa" w:w="3389"/>
            <w:shd w:fill="F7FAFC"/>
            <w:vAlign w:val="center"/>
          </w:tcPr>
          <w:p>
            <w:pPr>
              <w:jc w:val="left"/>
            </w:pPr>
            <w:r/>
            <w:r>
              <w:rPr>
                <w:rFonts w:ascii="Avenir Next" w:hAnsi="Avenir Next"/>
                <w:b w:val="0"/>
                <w:color w:val="1A202C"/>
                <w:sz w:val="18"/>
              </w:rPr>
              <w:t>Slow audit-response posture</w:t>
            </w:r>
          </w:p>
        </w:tc>
      </w:tr>
    </w:tbl>
    <w:p>
      <w:pPr>
        <w:spacing w:after="40"/>
        <w:jc w:val="left"/>
      </w:pPr>
      <w:r>
        <w:rPr>
          <w:rFonts w:ascii="Avenir Next" w:hAnsi="Avenir Next"/>
          <w:b w:val="0"/>
          <w:color w:val="1A202C"/>
          <w:sz w:val="21"/>
        </w:rPr>
      </w:r>
    </w:p>
    <w:p>
      <w:pPr>
        <w:pStyle w:val="Heading1"/>
        <w:spacing w:before="200" w:after="80"/>
      </w:pPr>
      <w:r>
        <w:t>Workflow Design</w:t>
      </w:r>
    </w:p>
    <w:p>
      <w:pPr>
        <w:spacing w:after="120"/>
        <w:jc w:val="left"/>
      </w:pPr>
      <w:r>
        <w:rPr>
          <w:rFonts w:ascii="Avenir Next" w:hAnsi="Avenir Next"/>
          <w:b w:val="0"/>
          <w:color w:val="1A202C"/>
          <w:sz w:val="21"/>
        </w:rPr>
        <w:t>The workflow was designed as a three-layer control system. A classification layer interpreted the requirement and extracted key entities. A routing layer translated that interpretation into owner assignment. A validation layer enforced confidence thresholds and reserved ambiguous items for human review.</w:t>
      </w:r>
    </w:p>
    <w:p>
      <w:pPr>
        <w:pStyle w:val="ListBullet"/>
        <w:spacing w:after="40"/>
      </w:pPr>
      <w:r>
        <w:rPr>
          <w:rFonts w:ascii="Avenir Next" w:hAnsi="Avenir Next"/>
          <w:color w:val="1A202C"/>
          <w:sz w:val="20"/>
        </w:rPr>
        <w:t>Classification layer: few-shot prompt logic using Claude API for primary categorization.</w:t>
      </w:r>
    </w:p>
    <w:p>
      <w:pPr>
        <w:pStyle w:val="ListBullet"/>
        <w:spacing w:after="40"/>
      </w:pPr>
      <w:r>
        <w:rPr>
          <w:rFonts w:ascii="Avenir Next" w:hAnsi="Avenir Next"/>
          <w:color w:val="1A202C"/>
          <w:sz w:val="20"/>
        </w:rPr>
        <w:t>Routing layer: rules-based mapping to accountable functions through an editable matrix.</w:t>
      </w:r>
    </w:p>
    <w:p>
      <w:pPr>
        <w:pStyle w:val="ListBullet"/>
        <w:spacing w:after="40"/>
      </w:pPr>
      <w:r>
        <w:rPr>
          <w:rFonts w:ascii="Avenir Next" w:hAnsi="Avenir Next"/>
          <w:color w:val="1A202C"/>
          <w:sz w:val="20"/>
        </w:rPr>
        <w:t>Validation layer: secondary verification and confidence scoring using OpenAI API plus threshold logic.</w:t>
      </w:r>
    </w:p>
    <w:p>
      <w:pPr>
        <w:pStyle w:val="ListBullet"/>
        <w:spacing w:after="40"/>
      </w:pPr>
      <w:r>
        <w:rPr>
          <w:rFonts w:ascii="Avenir Next" w:hAnsi="Avenir Next"/>
          <w:color w:val="1A202C"/>
          <w:sz w:val="20"/>
        </w:rPr>
        <w:t>Auditability: each automated route could be logged against the originating requirement and assigned owner.</w:t>
      </w:r>
    </w:p>
    <w:p>
      <w:pPr>
        <w:pStyle w:val="Heading1"/>
        <w:spacing w:before="200" w:after="80"/>
      </w:pPr>
      <w:r>
        <w:t>Implementation Architecture</w:t>
      </w:r>
    </w:p>
    <w:p>
      <w:pPr>
        <w:spacing w:after="120"/>
        <w:jc w:val="left"/>
      </w:pPr>
      <w:r>
        <w:rPr>
          <w:rFonts w:ascii="Avenir Next" w:hAnsi="Avenir Next"/>
          <w:b w:val="0"/>
          <w:color w:val="1A202C"/>
          <w:sz w:val="21"/>
        </w:rPr>
        <w:t>The architecture mattered because the workflow had to stay editable by operators, not only by developers. Separation between interpretation, routing rules, and review thresholds made the system maintainable under changing audit requirements.</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Architecture by function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Layer</w:t>
            </w:r>
          </w:p>
        </w:tc>
        <w:tc>
          <w:tcPr>
            <w:tcW w:type="dxa" w:w="2541"/>
            <w:shd w:fill="1A2332"/>
            <w:vAlign w:val="center"/>
          </w:tcPr>
          <w:p>
            <w:pPr>
              <w:jc w:val="center"/>
            </w:pPr>
            <w:r/>
            <w:r>
              <w:rPr>
                <w:rFonts w:ascii="Avenir Next" w:hAnsi="Avenir Next"/>
                <w:b/>
                <w:color w:val="FFFFFF"/>
                <w:sz w:val="19"/>
              </w:rPr>
              <w:t>Primary role</w:t>
            </w:r>
          </w:p>
        </w:tc>
        <w:tc>
          <w:tcPr>
            <w:tcW w:type="dxa" w:w="2541"/>
            <w:shd w:fill="1A2332"/>
            <w:vAlign w:val="center"/>
          </w:tcPr>
          <w:p>
            <w:pPr>
              <w:jc w:val="center"/>
            </w:pPr>
            <w:r/>
            <w:r>
              <w:rPr>
                <w:rFonts w:ascii="Avenir Next" w:hAnsi="Avenir Next"/>
                <w:b/>
                <w:color w:val="FFFFFF"/>
                <w:sz w:val="19"/>
              </w:rPr>
              <w:t>Editable element</w:t>
            </w:r>
          </w:p>
        </w:tc>
        <w:tc>
          <w:tcPr>
            <w:tcW w:type="dxa" w:w="2541"/>
            <w:shd w:fill="1A2332"/>
            <w:vAlign w:val="center"/>
          </w:tcPr>
          <w:p>
            <w:pPr>
              <w:jc w:val="center"/>
            </w:pPr>
            <w:r/>
            <w:r>
              <w:rPr>
                <w:rFonts w:ascii="Avenir Next" w:hAnsi="Avenir Next"/>
                <w:b/>
                <w:color w:val="FFFFFF"/>
                <w:sz w:val="19"/>
              </w:rPr>
              <w:t>Failure mode avoided</w:t>
            </w:r>
          </w:p>
        </w:tc>
      </w:tr>
      <w:tr>
        <w:tc>
          <w:tcPr>
            <w:tcW w:type="dxa" w:w="2541"/>
            <w:shd w:fill="F7FAFC"/>
            <w:vAlign w:val="center"/>
          </w:tcPr>
          <w:p>
            <w:pPr>
              <w:jc w:val="left"/>
            </w:pPr>
            <w:r/>
            <w:r>
              <w:rPr>
                <w:rFonts w:ascii="Avenir Next" w:hAnsi="Avenir Next"/>
                <w:b w:val="0"/>
                <w:color w:val="1A202C"/>
                <w:sz w:val="18"/>
              </w:rPr>
              <w:t>Intake interpretation</w:t>
            </w:r>
          </w:p>
        </w:tc>
        <w:tc>
          <w:tcPr>
            <w:tcW w:type="dxa" w:w="2541"/>
            <w:shd w:fill="F7FAFC"/>
            <w:vAlign w:val="center"/>
          </w:tcPr>
          <w:p>
            <w:pPr>
              <w:jc w:val="left"/>
            </w:pPr>
            <w:r/>
            <w:r>
              <w:rPr>
                <w:rFonts w:ascii="Avenir Next" w:hAnsi="Avenir Next"/>
                <w:b w:val="0"/>
                <w:color w:val="1A202C"/>
                <w:sz w:val="18"/>
              </w:rPr>
              <w:t>Read and classify the requirement</w:t>
            </w:r>
          </w:p>
        </w:tc>
        <w:tc>
          <w:tcPr>
            <w:tcW w:type="dxa" w:w="2541"/>
            <w:shd w:fill="F7FAFC"/>
            <w:vAlign w:val="center"/>
          </w:tcPr>
          <w:p>
            <w:pPr>
              <w:jc w:val="left"/>
            </w:pPr>
            <w:r/>
            <w:r>
              <w:rPr>
                <w:rFonts w:ascii="Avenir Next" w:hAnsi="Avenir Next"/>
                <w:b w:val="0"/>
                <w:color w:val="1A202C"/>
                <w:sz w:val="18"/>
              </w:rPr>
              <w:t>Prompt examples and category labels</w:t>
            </w:r>
          </w:p>
        </w:tc>
        <w:tc>
          <w:tcPr>
            <w:tcW w:type="dxa" w:w="2541"/>
            <w:shd w:fill="F7FAFC"/>
            <w:vAlign w:val="center"/>
          </w:tcPr>
          <w:p>
            <w:pPr>
              <w:jc w:val="left"/>
            </w:pPr>
            <w:r/>
            <w:r>
              <w:rPr>
                <w:rFonts w:ascii="Avenir Next" w:hAnsi="Avenir Next"/>
                <w:b w:val="0"/>
                <w:color w:val="1A202C"/>
                <w:sz w:val="18"/>
              </w:rPr>
              <w:t>Ad hoc inconsistent reading</w:t>
            </w:r>
          </w:p>
        </w:tc>
      </w:tr>
      <w:tr>
        <w:tc>
          <w:tcPr>
            <w:tcW w:type="dxa" w:w="2541"/>
            <w:vAlign w:val="center"/>
          </w:tcPr>
          <w:p>
            <w:pPr>
              <w:jc w:val="left"/>
            </w:pPr>
            <w:r/>
            <w:r>
              <w:rPr>
                <w:rFonts w:ascii="Avenir Next" w:hAnsi="Avenir Next"/>
                <w:b w:val="0"/>
                <w:color w:val="1A202C"/>
                <w:sz w:val="18"/>
              </w:rPr>
              <w:t>Routing matrix</w:t>
            </w:r>
          </w:p>
        </w:tc>
        <w:tc>
          <w:tcPr>
            <w:tcW w:type="dxa" w:w="2541"/>
            <w:vAlign w:val="center"/>
          </w:tcPr>
          <w:p>
            <w:pPr>
              <w:jc w:val="left"/>
            </w:pPr>
            <w:r/>
            <w:r>
              <w:rPr>
                <w:rFonts w:ascii="Avenir Next" w:hAnsi="Avenir Next"/>
                <w:b w:val="0"/>
                <w:color w:val="1A202C"/>
                <w:sz w:val="18"/>
              </w:rPr>
              <w:t>Map category to accountable owner</w:t>
            </w:r>
          </w:p>
        </w:tc>
        <w:tc>
          <w:tcPr>
            <w:tcW w:type="dxa" w:w="2541"/>
            <w:vAlign w:val="center"/>
          </w:tcPr>
          <w:p>
            <w:pPr>
              <w:jc w:val="left"/>
            </w:pPr>
            <w:r/>
            <w:r>
              <w:rPr>
                <w:rFonts w:ascii="Avenir Next" w:hAnsi="Avenir Next"/>
                <w:b w:val="0"/>
                <w:color w:val="1A202C"/>
                <w:sz w:val="18"/>
              </w:rPr>
              <w:t>Rules table and owner mapping</w:t>
            </w:r>
          </w:p>
        </w:tc>
        <w:tc>
          <w:tcPr>
            <w:tcW w:type="dxa" w:w="2541"/>
            <w:vAlign w:val="center"/>
          </w:tcPr>
          <w:p>
            <w:pPr>
              <w:jc w:val="left"/>
            </w:pPr>
            <w:r/>
            <w:r>
              <w:rPr>
                <w:rFonts w:ascii="Avenir Next" w:hAnsi="Avenir Next"/>
                <w:b w:val="0"/>
                <w:color w:val="1A202C"/>
                <w:sz w:val="18"/>
              </w:rPr>
              <w:t>Hard-coded route logic</w:t>
            </w:r>
          </w:p>
        </w:tc>
      </w:tr>
      <w:tr>
        <w:tc>
          <w:tcPr>
            <w:tcW w:type="dxa" w:w="2541"/>
            <w:shd w:fill="F7FAFC"/>
            <w:vAlign w:val="center"/>
          </w:tcPr>
          <w:p>
            <w:pPr>
              <w:jc w:val="left"/>
            </w:pPr>
            <w:r/>
            <w:r>
              <w:rPr>
                <w:rFonts w:ascii="Avenir Next" w:hAnsi="Avenir Next"/>
                <w:b w:val="0"/>
                <w:color w:val="1A202C"/>
                <w:sz w:val="18"/>
              </w:rPr>
              <w:t>Confidence review</w:t>
            </w:r>
          </w:p>
        </w:tc>
        <w:tc>
          <w:tcPr>
            <w:tcW w:type="dxa" w:w="2541"/>
            <w:shd w:fill="F7FAFC"/>
            <w:vAlign w:val="center"/>
          </w:tcPr>
          <w:p>
            <w:pPr>
              <w:jc w:val="left"/>
            </w:pPr>
            <w:r/>
            <w:r>
              <w:rPr>
                <w:rFonts w:ascii="Avenir Next" w:hAnsi="Avenir Next"/>
                <w:b w:val="0"/>
                <w:color w:val="1A202C"/>
                <w:sz w:val="18"/>
              </w:rPr>
              <w:t>Escalate ambiguous cases</w:t>
            </w:r>
          </w:p>
        </w:tc>
        <w:tc>
          <w:tcPr>
            <w:tcW w:type="dxa" w:w="2541"/>
            <w:shd w:fill="F7FAFC"/>
            <w:vAlign w:val="center"/>
          </w:tcPr>
          <w:p>
            <w:pPr>
              <w:jc w:val="left"/>
            </w:pPr>
            <w:r/>
            <w:r>
              <w:rPr>
                <w:rFonts w:ascii="Avenir Next" w:hAnsi="Avenir Next"/>
                <w:b w:val="0"/>
                <w:color w:val="1A202C"/>
                <w:sz w:val="18"/>
              </w:rPr>
              <w:t>Thresholds and exception logic</w:t>
            </w:r>
          </w:p>
        </w:tc>
        <w:tc>
          <w:tcPr>
            <w:tcW w:type="dxa" w:w="2541"/>
            <w:shd w:fill="F7FAFC"/>
            <w:vAlign w:val="center"/>
          </w:tcPr>
          <w:p>
            <w:pPr>
              <w:jc w:val="left"/>
            </w:pPr>
            <w:r/>
            <w:r>
              <w:rPr>
                <w:rFonts w:ascii="Avenir Next" w:hAnsi="Avenir Next"/>
                <w:b w:val="0"/>
                <w:color w:val="1A202C"/>
                <w:sz w:val="18"/>
              </w:rPr>
              <w:t>False certainty on low-confidence items</w:t>
            </w:r>
          </w:p>
        </w:tc>
      </w:tr>
      <w:tr>
        <w:tc>
          <w:tcPr>
            <w:tcW w:type="dxa" w:w="2541"/>
            <w:vAlign w:val="center"/>
          </w:tcPr>
          <w:p>
            <w:pPr>
              <w:jc w:val="left"/>
            </w:pPr>
            <w:r/>
            <w:r>
              <w:rPr>
                <w:rFonts w:ascii="Avenir Next" w:hAnsi="Avenir Next"/>
                <w:b w:val="0"/>
                <w:color w:val="1A202C"/>
                <w:sz w:val="18"/>
              </w:rPr>
              <w:t>Logging trail</w:t>
            </w:r>
          </w:p>
        </w:tc>
        <w:tc>
          <w:tcPr>
            <w:tcW w:type="dxa" w:w="2541"/>
            <w:vAlign w:val="center"/>
          </w:tcPr>
          <w:p>
            <w:pPr>
              <w:jc w:val="left"/>
            </w:pPr>
            <w:r/>
            <w:r>
              <w:rPr>
                <w:rFonts w:ascii="Avenir Next" w:hAnsi="Avenir Next"/>
                <w:b w:val="0"/>
                <w:color w:val="1A202C"/>
                <w:sz w:val="18"/>
              </w:rPr>
              <w:t>Preserve traceability</w:t>
            </w:r>
          </w:p>
        </w:tc>
        <w:tc>
          <w:tcPr>
            <w:tcW w:type="dxa" w:w="2541"/>
            <w:vAlign w:val="center"/>
          </w:tcPr>
          <w:p>
            <w:pPr>
              <w:jc w:val="left"/>
            </w:pPr>
            <w:r/>
            <w:r>
              <w:rPr>
                <w:rFonts w:ascii="Avenir Next" w:hAnsi="Avenir Next"/>
                <w:b w:val="0"/>
                <w:color w:val="1A202C"/>
                <w:sz w:val="18"/>
              </w:rPr>
              <w:t>Case log and route history</w:t>
            </w:r>
          </w:p>
        </w:tc>
        <w:tc>
          <w:tcPr>
            <w:tcW w:type="dxa" w:w="2541"/>
            <w:vAlign w:val="center"/>
          </w:tcPr>
          <w:p>
            <w:pPr>
              <w:jc w:val="left"/>
            </w:pPr>
            <w:r/>
            <w:r>
              <w:rPr>
                <w:rFonts w:ascii="Avenir Next" w:hAnsi="Avenir Next"/>
                <w:b w:val="0"/>
                <w:color w:val="1A202C"/>
                <w:sz w:val="18"/>
              </w:rPr>
              <w:t>Invisible automation behavior</w:t>
            </w:r>
          </w:p>
        </w:tc>
      </w:tr>
    </w:tbl>
    <w:p>
      <w:pPr>
        <w:spacing w:after="40"/>
        <w:jc w:val="left"/>
      </w:pPr>
      <w:r>
        <w:rPr>
          <w:rFonts w:ascii="Avenir Next" w:hAnsi="Avenir Next"/>
          <w:b w:val="0"/>
          <w:color w:val="1A202C"/>
          <w:sz w:val="21"/>
        </w:rPr>
      </w:r>
    </w:p>
    <w:p>
      <w:pPr>
        <w:pStyle w:val="Heading1"/>
        <w:spacing w:before="200" w:after="80"/>
      </w:pPr>
      <w:r>
        <w:t>Governance Logic</w:t>
      </w:r>
    </w:p>
    <w:p>
      <w:pPr>
        <w:spacing w:after="120"/>
        <w:jc w:val="left"/>
      </w:pPr>
      <w:r>
        <w:rPr>
          <w:rFonts w:ascii="Avenir Next" w:hAnsi="Avenir Next"/>
          <w:b w:val="0"/>
          <w:color w:val="1A202C"/>
          <w:sz w:val="21"/>
        </w:rPr>
        <w:t>The strongest design choice was not the model selection. It was the decision to separate high-confidence auto-routing from low-confidence human-review handling. That made the workflow acceptable in a regulated context because automation accelerated the routine cases without pretending uncertainty did not exist.</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Control logic by case type</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Case type</w:t>
            </w:r>
          </w:p>
        </w:tc>
        <w:tc>
          <w:tcPr>
            <w:tcW w:type="dxa" w:w="3389"/>
            <w:shd w:fill="1A2332"/>
            <w:vAlign w:val="center"/>
          </w:tcPr>
          <w:p>
            <w:pPr>
              <w:jc w:val="center"/>
            </w:pPr>
            <w:r/>
            <w:r>
              <w:rPr>
                <w:rFonts w:ascii="Avenir Next" w:hAnsi="Avenir Next"/>
                <w:b/>
                <w:color w:val="FFFFFF"/>
                <w:sz w:val="19"/>
              </w:rPr>
              <w:t>System action</w:t>
            </w:r>
          </w:p>
        </w:tc>
        <w:tc>
          <w:tcPr>
            <w:tcW w:type="dxa" w:w="3389"/>
            <w:shd w:fill="1A2332"/>
            <w:vAlign w:val="center"/>
          </w:tcPr>
          <w:p>
            <w:pPr>
              <w:jc w:val="center"/>
            </w:pPr>
            <w:r/>
            <w:r>
              <w:rPr>
                <w:rFonts w:ascii="Avenir Next" w:hAnsi="Avenir Next"/>
                <w:b/>
                <w:color w:val="FFFFFF"/>
                <w:sz w:val="19"/>
              </w:rPr>
              <w:t>Control purpose</w:t>
            </w:r>
          </w:p>
        </w:tc>
      </w:tr>
      <w:tr>
        <w:tc>
          <w:tcPr>
            <w:tcW w:type="dxa" w:w="3389"/>
            <w:shd w:fill="F7FAFC"/>
            <w:vAlign w:val="center"/>
          </w:tcPr>
          <w:p>
            <w:pPr>
              <w:jc w:val="left"/>
            </w:pPr>
            <w:r/>
            <w:r>
              <w:rPr>
                <w:rFonts w:ascii="Avenir Next" w:hAnsi="Avenir Next"/>
                <w:b w:val="0"/>
                <w:color w:val="1A202C"/>
                <w:sz w:val="18"/>
              </w:rPr>
              <w:t>High-confidence classification</w:t>
            </w:r>
          </w:p>
        </w:tc>
        <w:tc>
          <w:tcPr>
            <w:tcW w:type="dxa" w:w="3389"/>
            <w:shd w:fill="F7FAFC"/>
            <w:vAlign w:val="center"/>
          </w:tcPr>
          <w:p>
            <w:pPr>
              <w:jc w:val="left"/>
            </w:pPr>
            <w:r/>
            <w:r>
              <w:rPr>
                <w:rFonts w:ascii="Avenir Next" w:hAnsi="Avenir Next"/>
                <w:b w:val="0"/>
                <w:color w:val="1A202C"/>
                <w:sz w:val="18"/>
              </w:rPr>
              <w:t>Auto-route to accountable owner</w:t>
            </w:r>
          </w:p>
        </w:tc>
        <w:tc>
          <w:tcPr>
            <w:tcW w:type="dxa" w:w="3389"/>
            <w:shd w:fill="F7FAFC"/>
            <w:vAlign w:val="center"/>
          </w:tcPr>
          <w:p>
            <w:pPr>
              <w:jc w:val="left"/>
            </w:pPr>
            <w:r/>
            <w:r>
              <w:rPr>
                <w:rFonts w:ascii="Avenir Next" w:hAnsi="Avenir Next"/>
                <w:b w:val="0"/>
                <w:color w:val="1A202C"/>
                <w:sz w:val="18"/>
              </w:rPr>
              <w:t>Reduce cycle time without manual bottleneck</w:t>
            </w:r>
          </w:p>
        </w:tc>
      </w:tr>
      <w:tr>
        <w:tc>
          <w:tcPr>
            <w:tcW w:type="dxa" w:w="3389"/>
            <w:vAlign w:val="center"/>
          </w:tcPr>
          <w:p>
            <w:pPr>
              <w:jc w:val="left"/>
            </w:pPr>
            <w:r/>
            <w:r>
              <w:rPr>
                <w:rFonts w:ascii="Avenir Next" w:hAnsi="Avenir Next"/>
                <w:b w:val="0"/>
                <w:color w:val="1A202C"/>
                <w:sz w:val="18"/>
              </w:rPr>
              <w:t>Low-confidence classification</w:t>
            </w:r>
          </w:p>
        </w:tc>
        <w:tc>
          <w:tcPr>
            <w:tcW w:type="dxa" w:w="3389"/>
            <w:vAlign w:val="center"/>
          </w:tcPr>
          <w:p>
            <w:pPr>
              <w:jc w:val="left"/>
            </w:pPr>
            <w:r/>
            <w:r>
              <w:rPr>
                <w:rFonts w:ascii="Avenir Next" w:hAnsi="Avenir Next"/>
                <w:b w:val="0"/>
                <w:color w:val="1A202C"/>
                <w:sz w:val="18"/>
              </w:rPr>
              <w:t>Escalate for human review</w:t>
            </w:r>
          </w:p>
        </w:tc>
        <w:tc>
          <w:tcPr>
            <w:tcW w:type="dxa" w:w="3389"/>
            <w:vAlign w:val="center"/>
          </w:tcPr>
          <w:p>
            <w:pPr>
              <w:jc w:val="left"/>
            </w:pPr>
            <w:r/>
            <w:r>
              <w:rPr>
                <w:rFonts w:ascii="Avenir Next" w:hAnsi="Avenir Next"/>
                <w:b w:val="0"/>
                <w:color w:val="1A202C"/>
                <w:sz w:val="18"/>
              </w:rPr>
              <w:t>Protect routing quality and traceability</w:t>
            </w:r>
          </w:p>
        </w:tc>
      </w:tr>
      <w:tr>
        <w:tc>
          <w:tcPr>
            <w:tcW w:type="dxa" w:w="3389"/>
            <w:shd w:fill="F7FAFC"/>
            <w:vAlign w:val="center"/>
          </w:tcPr>
          <w:p>
            <w:pPr>
              <w:jc w:val="left"/>
            </w:pPr>
            <w:r/>
            <w:r>
              <w:rPr>
                <w:rFonts w:ascii="Avenir Next" w:hAnsi="Avenir Next"/>
                <w:b w:val="0"/>
                <w:color w:val="1A202C"/>
                <w:sz w:val="18"/>
              </w:rPr>
              <w:t>Routing-rule change</w:t>
            </w:r>
          </w:p>
        </w:tc>
        <w:tc>
          <w:tcPr>
            <w:tcW w:type="dxa" w:w="3389"/>
            <w:shd w:fill="F7FAFC"/>
            <w:vAlign w:val="center"/>
          </w:tcPr>
          <w:p>
            <w:pPr>
              <w:jc w:val="left"/>
            </w:pPr>
            <w:r/>
            <w:r>
              <w:rPr>
                <w:rFonts w:ascii="Avenir Next" w:hAnsi="Avenir Next"/>
                <w:b w:val="0"/>
                <w:color w:val="1A202C"/>
                <w:sz w:val="18"/>
              </w:rPr>
              <w:t>Update editable matrix</w:t>
            </w:r>
          </w:p>
        </w:tc>
        <w:tc>
          <w:tcPr>
            <w:tcW w:type="dxa" w:w="3389"/>
            <w:shd w:fill="F7FAFC"/>
            <w:vAlign w:val="center"/>
          </w:tcPr>
          <w:p>
            <w:pPr>
              <w:jc w:val="left"/>
            </w:pPr>
            <w:r/>
            <w:r>
              <w:rPr>
                <w:rFonts w:ascii="Avenir Next" w:hAnsi="Avenir Next"/>
                <w:b w:val="0"/>
                <w:color w:val="1A202C"/>
                <w:sz w:val="18"/>
              </w:rPr>
              <w:t>Preserve maintainability without code change</w:t>
            </w:r>
          </w:p>
        </w:tc>
      </w:tr>
      <w:tr>
        <w:tc>
          <w:tcPr>
            <w:tcW w:type="dxa" w:w="3389"/>
            <w:vAlign w:val="center"/>
          </w:tcPr>
          <w:p>
            <w:pPr>
              <w:jc w:val="left"/>
            </w:pPr>
            <w:r/>
            <w:r>
              <w:rPr>
                <w:rFonts w:ascii="Avenir Next" w:hAnsi="Avenir Next"/>
                <w:b w:val="0"/>
                <w:color w:val="1A202C"/>
                <w:sz w:val="18"/>
              </w:rPr>
              <w:t>Exception handling</w:t>
            </w:r>
          </w:p>
        </w:tc>
        <w:tc>
          <w:tcPr>
            <w:tcW w:type="dxa" w:w="3389"/>
            <w:vAlign w:val="center"/>
          </w:tcPr>
          <w:p>
            <w:pPr>
              <w:jc w:val="left"/>
            </w:pPr>
            <w:r/>
            <w:r>
              <w:rPr>
                <w:rFonts w:ascii="Avenir Next" w:hAnsi="Avenir Next"/>
                <w:b w:val="0"/>
                <w:color w:val="1A202C"/>
                <w:sz w:val="18"/>
              </w:rPr>
              <w:t>Log and review</w:t>
            </w:r>
          </w:p>
        </w:tc>
        <w:tc>
          <w:tcPr>
            <w:tcW w:type="dxa" w:w="3389"/>
            <w:vAlign w:val="center"/>
          </w:tcPr>
          <w:p>
            <w:pPr>
              <w:jc w:val="left"/>
            </w:pPr>
            <w:r/>
            <w:r>
              <w:rPr>
                <w:rFonts w:ascii="Avenir Next" w:hAnsi="Avenir Next"/>
                <w:b w:val="0"/>
                <w:color w:val="1A202C"/>
                <w:sz w:val="18"/>
              </w:rPr>
              <w:t>Create visible control trail</w:t>
            </w:r>
          </w:p>
        </w:tc>
      </w:tr>
    </w:tbl>
    <w:p>
      <w:pPr>
        <w:spacing w:after="40"/>
        <w:jc w:val="left"/>
      </w:pPr>
      <w:r>
        <w:rPr>
          <w:rFonts w:ascii="Avenir Next" w:hAnsi="Avenir Next"/>
          <w:b w:val="0"/>
          <w:color w:val="1A202C"/>
          <w:sz w:val="21"/>
        </w:rPr>
      </w:r>
    </w:p>
    <w:p>
      <w:pPr>
        <w:pStyle w:val="Heading1"/>
        <w:spacing w:before="200" w:after="80"/>
      </w:pPr>
      <w:r>
        <w:t>Results and Business Impact</w:t>
      </w:r>
    </w:p>
    <w:p>
      <w:pPr>
        <w:spacing w:after="120"/>
        <w:jc w:val="left"/>
      </w:pPr>
      <w:r>
        <w:rPr>
          <w:rFonts w:ascii="Avenir Next" w:hAnsi="Avenir Next"/>
          <w:b w:val="0"/>
          <w:color w:val="1A202C"/>
          <w:sz w:val="21"/>
        </w:rPr>
        <w:t>The workflow improved both speed and control quality. That is the part that matters commercially: it did not simply automate a task, it improved the operating model.</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Before versus after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Metric</w:t>
            </w:r>
          </w:p>
        </w:tc>
        <w:tc>
          <w:tcPr>
            <w:tcW w:type="dxa" w:w="2541"/>
            <w:shd w:fill="1A2332"/>
            <w:vAlign w:val="center"/>
          </w:tcPr>
          <w:p>
            <w:pPr>
              <w:jc w:val="center"/>
            </w:pPr>
            <w:r/>
            <w:r>
              <w:rPr>
                <w:rFonts w:ascii="Avenir Next" w:hAnsi="Avenir Next"/>
                <w:b/>
                <w:color w:val="FFFFFF"/>
                <w:sz w:val="19"/>
              </w:rPr>
              <w:t>Before</w:t>
            </w:r>
          </w:p>
        </w:tc>
        <w:tc>
          <w:tcPr>
            <w:tcW w:type="dxa" w:w="2541"/>
            <w:shd w:fill="1A2332"/>
            <w:vAlign w:val="center"/>
          </w:tcPr>
          <w:p>
            <w:pPr>
              <w:jc w:val="center"/>
            </w:pPr>
            <w:r/>
            <w:r>
              <w:rPr>
                <w:rFonts w:ascii="Avenir Next" w:hAnsi="Avenir Next"/>
                <w:b/>
                <w:color w:val="FFFFFF"/>
                <w:sz w:val="19"/>
              </w:rPr>
              <w:t>After</w:t>
            </w:r>
          </w:p>
        </w:tc>
        <w:tc>
          <w:tcPr>
            <w:tcW w:type="dxa" w:w="2541"/>
            <w:shd w:fill="1A2332"/>
            <w:vAlign w:val="center"/>
          </w:tcPr>
          <w:p>
            <w:pPr>
              <w:jc w:val="center"/>
            </w:pPr>
            <w:r/>
            <w:r>
              <w:rPr>
                <w:rFonts w:ascii="Avenir Next" w:hAnsi="Avenir Next"/>
                <w:b/>
                <w:color w:val="FFFFFF"/>
                <w:sz w:val="19"/>
              </w:rPr>
              <w:t>Change</w:t>
            </w:r>
          </w:p>
        </w:tc>
      </w:tr>
      <w:tr>
        <w:tc>
          <w:tcPr>
            <w:tcW w:type="dxa" w:w="2541"/>
            <w:shd w:fill="F7FAFC"/>
            <w:vAlign w:val="center"/>
          </w:tcPr>
          <w:p>
            <w:pPr>
              <w:jc w:val="left"/>
            </w:pPr>
            <w:r/>
            <w:r>
              <w:rPr>
                <w:rFonts w:ascii="Avenir Next" w:hAnsi="Avenir Next"/>
                <w:b w:val="0"/>
                <w:color w:val="1A202C"/>
                <w:sz w:val="18"/>
              </w:rPr>
              <w:t>Processing time per item</w:t>
            </w:r>
          </w:p>
        </w:tc>
        <w:tc>
          <w:tcPr>
            <w:tcW w:type="dxa" w:w="2541"/>
            <w:shd w:fill="F7FAFC"/>
            <w:vAlign w:val="center"/>
          </w:tcPr>
          <w:p>
            <w:pPr>
              <w:jc w:val="left"/>
            </w:pPr>
            <w:r/>
            <w:r>
              <w:rPr>
                <w:rFonts w:ascii="Avenir Next" w:hAnsi="Avenir Next"/>
                <w:b w:val="0"/>
                <w:color w:val="1A202C"/>
                <w:sz w:val="18"/>
              </w:rPr>
              <w:t>15-20 min</w:t>
            </w:r>
          </w:p>
        </w:tc>
        <w:tc>
          <w:tcPr>
            <w:tcW w:type="dxa" w:w="2541"/>
            <w:shd w:fill="F7FAFC"/>
            <w:vAlign w:val="center"/>
          </w:tcPr>
          <w:p>
            <w:pPr>
              <w:jc w:val="left"/>
            </w:pPr>
            <w:r/>
            <w:r>
              <w:rPr>
                <w:rFonts w:ascii="Avenir Next" w:hAnsi="Avenir Next"/>
                <w:b w:val="0"/>
                <w:color w:val="1A202C"/>
                <w:sz w:val="18"/>
              </w:rPr>
              <w:t>30-45 sec</w:t>
            </w:r>
          </w:p>
        </w:tc>
        <w:tc>
          <w:tcPr>
            <w:tcW w:type="dxa" w:w="2541"/>
            <w:shd w:fill="F7FAFC"/>
            <w:vAlign w:val="center"/>
          </w:tcPr>
          <w:p>
            <w:pPr>
              <w:jc w:val="left"/>
            </w:pPr>
            <w:r/>
            <w:r>
              <w:rPr>
                <w:rFonts w:ascii="Avenir Next" w:hAnsi="Avenir Next"/>
                <w:b w:val="0"/>
                <w:color w:val="1A202C"/>
                <w:sz w:val="18"/>
              </w:rPr>
              <w:t>95% reduction</w:t>
            </w:r>
          </w:p>
        </w:tc>
      </w:tr>
      <w:tr>
        <w:tc>
          <w:tcPr>
            <w:tcW w:type="dxa" w:w="2541"/>
            <w:vAlign w:val="center"/>
          </w:tcPr>
          <w:p>
            <w:pPr>
              <w:jc w:val="left"/>
            </w:pPr>
            <w:r/>
            <w:r>
              <w:rPr>
                <w:rFonts w:ascii="Avenir Next" w:hAnsi="Avenir Next"/>
                <w:b w:val="0"/>
                <w:color w:val="1A202C"/>
                <w:sz w:val="18"/>
              </w:rPr>
              <w:t>Weekly manual effort</w:t>
            </w:r>
          </w:p>
        </w:tc>
        <w:tc>
          <w:tcPr>
            <w:tcW w:type="dxa" w:w="2541"/>
            <w:vAlign w:val="center"/>
          </w:tcPr>
          <w:p>
            <w:pPr>
              <w:jc w:val="left"/>
            </w:pPr>
            <w:r/>
            <w:r>
              <w:rPr>
                <w:rFonts w:ascii="Avenir Next" w:hAnsi="Avenir Next"/>
                <w:b w:val="0"/>
                <w:color w:val="1A202C"/>
                <w:sz w:val="18"/>
              </w:rPr>
              <w:t>24+ hours</w:t>
            </w:r>
          </w:p>
        </w:tc>
        <w:tc>
          <w:tcPr>
            <w:tcW w:type="dxa" w:w="2541"/>
            <w:vAlign w:val="center"/>
          </w:tcPr>
          <w:p>
            <w:pPr>
              <w:jc w:val="left"/>
            </w:pPr>
            <w:r/>
            <w:r>
              <w:rPr>
                <w:rFonts w:ascii="Avenir Next" w:hAnsi="Avenir Next"/>
                <w:b w:val="0"/>
                <w:color w:val="1A202C"/>
                <w:sz w:val="18"/>
              </w:rPr>
              <w:t>&lt;2 hours</w:t>
            </w:r>
          </w:p>
        </w:tc>
        <w:tc>
          <w:tcPr>
            <w:tcW w:type="dxa" w:w="2541"/>
            <w:vAlign w:val="center"/>
          </w:tcPr>
          <w:p>
            <w:pPr>
              <w:jc w:val="left"/>
            </w:pPr>
            <w:r/>
            <w:r>
              <w:rPr>
                <w:rFonts w:ascii="Avenir Next" w:hAnsi="Avenir Next"/>
                <w:b w:val="0"/>
                <w:color w:val="1A202C"/>
                <w:sz w:val="18"/>
              </w:rPr>
              <w:t>92% reduction</w:t>
            </w:r>
          </w:p>
        </w:tc>
      </w:tr>
      <w:tr>
        <w:tc>
          <w:tcPr>
            <w:tcW w:type="dxa" w:w="2541"/>
            <w:shd w:fill="F7FAFC"/>
            <w:vAlign w:val="center"/>
          </w:tcPr>
          <w:p>
            <w:pPr>
              <w:jc w:val="left"/>
            </w:pPr>
            <w:r/>
            <w:r>
              <w:rPr>
                <w:rFonts w:ascii="Avenir Next" w:hAnsi="Avenir Next"/>
                <w:b w:val="0"/>
                <w:color w:val="1A202C"/>
                <w:sz w:val="18"/>
              </w:rPr>
              <w:t>Assignment accuracy</w:t>
            </w:r>
          </w:p>
        </w:tc>
        <w:tc>
          <w:tcPr>
            <w:tcW w:type="dxa" w:w="2541"/>
            <w:shd w:fill="F7FAFC"/>
            <w:vAlign w:val="center"/>
          </w:tcPr>
          <w:p>
            <w:pPr>
              <w:jc w:val="left"/>
            </w:pPr>
            <w:r/>
            <w:r>
              <w:rPr>
                <w:rFonts w:ascii="Avenir Next" w:hAnsi="Avenir Next"/>
                <w:b w:val="0"/>
                <w:color w:val="1A202C"/>
                <w:sz w:val="18"/>
              </w:rPr>
              <w:t>~88%</w:t>
            </w:r>
          </w:p>
        </w:tc>
        <w:tc>
          <w:tcPr>
            <w:tcW w:type="dxa" w:w="2541"/>
            <w:shd w:fill="F7FAFC"/>
            <w:vAlign w:val="center"/>
          </w:tcPr>
          <w:p>
            <w:pPr>
              <w:jc w:val="left"/>
            </w:pPr>
            <w:r/>
            <w:r>
              <w:rPr>
                <w:rFonts w:ascii="Avenir Next" w:hAnsi="Avenir Next"/>
                <w:b w:val="0"/>
                <w:color w:val="1A202C"/>
                <w:sz w:val="18"/>
              </w:rPr>
              <w:t>97%+</w:t>
            </w:r>
          </w:p>
        </w:tc>
        <w:tc>
          <w:tcPr>
            <w:tcW w:type="dxa" w:w="2541"/>
            <w:shd w:fill="F7FAFC"/>
            <w:vAlign w:val="center"/>
          </w:tcPr>
          <w:p>
            <w:pPr>
              <w:jc w:val="left"/>
            </w:pPr>
            <w:r/>
            <w:r>
              <w:rPr>
                <w:rFonts w:ascii="Avenir Next" w:hAnsi="Avenir Next"/>
                <w:b w:val="0"/>
                <w:color w:val="1A202C"/>
                <w:sz w:val="18"/>
              </w:rPr>
              <w:t>+9pp</w:t>
            </w:r>
          </w:p>
        </w:tc>
      </w:tr>
      <w:tr>
        <w:tc>
          <w:tcPr>
            <w:tcW w:type="dxa" w:w="2541"/>
            <w:vAlign w:val="center"/>
          </w:tcPr>
          <w:p>
            <w:pPr>
              <w:jc w:val="left"/>
            </w:pPr>
            <w:r/>
            <w:r>
              <w:rPr>
                <w:rFonts w:ascii="Avenir Next" w:hAnsi="Avenir Next"/>
                <w:b w:val="0"/>
                <w:color w:val="1A202C"/>
                <w:sz w:val="18"/>
              </w:rPr>
              <w:t>Misroute escalation</w:t>
            </w:r>
          </w:p>
        </w:tc>
        <w:tc>
          <w:tcPr>
            <w:tcW w:type="dxa" w:w="2541"/>
            <w:vAlign w:val="center"/>
          </w:tcPr>
          <w:p>
            <w:pPr>
              <w:jc w:val="left"/>
            </w:pPr>
            <w:r/>
            <w:r>
              <w:rPr>
                <w:rFonts w:ascii="Avenir Next" w:hAnsi="Avenir Next"/>
                <w:b w:val="0"/>
                <w:color w:val="1A202C"/>
                <w:sz w:val="18"/>
              </w:rPr>
              <w:t>~12%</w:t>
            </w:r>
          </w:p>
        </w:tc>
        <w:tc>
          <w:tcPr>
            <w:tcW w:type="dxa" w:w="2541"/>
            <w:vAlign w:val="center"/>
          </w:tcPr>
          <w:p>
            <w:pPr>
              <w:jc w:val="left"/>
            </w:pPr>
            <w:r/>
            <w:r>
              <w:rPr>
                <w:rFonts w:ascii="Avenir Next" w:hAnsi="Avenir Next"/>
                <w:b w:val="0"/>
                <w:color w:val="1A202C"/>
                <w:sz w:val="18"/>
              </w:rPr>
              <w:t>&lt;3%</w:t>
            </w:r>
          </w:p>
        </w:tc>
        <w:tc>
          <w:tcPr>
            <w:tcW w:type="dxa" w:w="2541"/>
            <w:vAlign w:val="center"/>
          </w:tcPr>
          <w:p>
            <w:pPr>
              <w:jc w:val="left"/>
            </w:pPr>
            <w:r/>
            <w:r>
              <w:rPr>
                <w:rFonts w:ascii="Avenir Next" w:hAnsi="Avenir Next"/>
                <w:b w:val="0"/>
                <w:color w:val="1A202C"/>
                <w:sz w:val="18"/>
              </w:rPr>
              <w:t>Material reduction</w:t>
            </w:r>
          </w:p>
        </w:tc>
      </w:tr>
      <w:tr>
        <w:tc>
          <w:tcPr>
            <w:tcW w:type="dxa" w:w="2541"/>
            <w:shd w:fill="F7FAFC"/>
            <w:vAlign w:val="center"/>
          </w:tcPr>
          <w:p>
            <w:pPr>
              <w:jc w:val="left"/>
            </w:pPr>
            <w:r/>
            <w:r>
              <w:rPr>
                <w:rFonts w:ascii="Avenir Next" w:hAnsi="Avenir Next"/>
                <w:b w:val="0"/>
                <w:color w:val="1A202C"/>
                <w:sz w:val="18"/>
              </w:rPr>
              <w:t>Response cycle</w:t>
            </w:r>
          </w:p>
        </w:tc>
        <w:tc>
          <w:tcPr>
            <w:tcW w:type="dxa" w:w="2541"/>
            <w:shd w:fill="F7FAFC"/>
            <w:vAlign w:val="center"/>
          </w:tcPr>
          <w:p>
            <w:pPr>
              <w:jc w:val="left"/>
            </w:pPr>
            <w:r/>
            <w:r>
              <w:rPr>
                <w:rFonts w:ascii="Avenir Next" w:hAnsi="Avenir Next"/>
                <w:b w:val="0"/>
                <w:color w:val="1A202C"/>
                <w:sz w:val="18"/>
              </w:rPr>
              <w:t>24-48 hours</w:t>
            </w:r>
          </w:p>
        </w:tc>
        <w:tc>
          <w:tcPr>
            <w:tcW w:type="dxa" w:w="2541"/>
            <w:shd w:fill="F7FAFC"/>
            <w:vAlign w:val="center"/>
          </w:tcPr>
          <w:p>
            <w:pPr>
              <w:jc w:val="left"/>
            </w:pPr>
            <w:r/>
            <w:r>
              <w:rPr>
                <w:rFonts w:ascii="Avenir Next" w:hAnsi="Avenir Next"/>
                <w:b w:val="0"/>
                <w:color w:val="1A202C"/>
                <w:sz w:val="18"/>
              </w:rPr>
              <w:t>&lt;4 hours</w:t>
            </w:r>
          </w:p>
        </w:tc>
        <w:tc>
          <w:tcPr>
            <w:tcW w:type="dxa" w:w="2541"/>
            <w:shd w:fill="F7FAFC"/>
            <w:vAlign w:val="center"/>
          </w:tcPr>
          <w:p>
            <w:pPr>
              <w:jc w:val="left"/>
            </w:pPr>
            <w:r/>
            <w:r>
              <w:rPr>
                <w:rFonts w:ascii="Avenir Next" w:hAnsi="Avenir Next"/>
                <w:b w:val="0"/>
                <w:color w:val="1A202C"/>
                <w:sz w:val="18"/>
              </w:rPr>
              <w:t>Faster response posture</w:t>
            </w:r>
          </w:p>
        </w:tc>
      </w:tr>
    </w:tbl>
    <w:p>
      <w:pPr>
        <w:spacing w:after="40"/>
        <w:jc w:val="left"/>
      </w:pPr>
      <w:r>
        <w:rPr>
          <w:rFonts w:ascii="Avenir Next" w:hAnsi="Avenir Next"/>
          <w:b w:val="0"/>
          <w:color w:val="1A202C"/>
          <w:sz w:val="21"/>
        </w:rPr>
      </w:r>
    </w:p>
    <w:p>
      <w:pPr>
        <w:pStyle w:val="Heading1"/>
        <w:spacing w:before="200" w:after="80"/>
      </w:pPr>
      <w:r>
        <w:t>Adoption and Operating Model Implications</w:t>
      </w:r>
    </w:p>
    <w:p>
      <w:pPr>
        <w:spacing w:after="120"/>
        <w:jc w:val="left"/>
      </w:pPr>
      <w:r>
        <w:rPr>
          <w:rFonts w:ascii="Avenir Next" w:hAnsi="Avenir Next"/>
          <w:b w:val="0"/>
          <w:color w:val="1A202C"/>
          <w:sz w:val="21"/>
        </w:rPr>
        <w:t>The operating win came from changing who touched the workflow and when. Staff no longer needed to read every incoming item, but they still remained accountable for ambiguous cases, rule updates, and exception handling.</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What changed operationally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Operating area</w:t>
            </w:r>
          </w:p>
        </w:tc>
        <w:tc>
          <w:tcPr>
            <w:tcW w:type="dxa" w:w="2541"/>
            <w:shd w:fill="1A2332"/>
            <w:vAlign w:val="center"/>
          </w:tcPr>
          <w:p>
            <w:pPr>
              <w:jc w:val="center"/>
            </w:pPr>
            <w:r/>
            <w:r>
              <w:rPr>
                <w:rFonts w:ascii="Avenir Next" w:hAnsi="Avenir Next"/>
                <w:b/>
                <w:color w:val="FFFFFF"/>
                <w:sz w:val="19"/>
              </w:rPr>
              <w:t>Before</w:t>
            </w:r>
          </w:p>
        </w:tc>
        <w:tc>
          <w:tcPr>
            <w:tcW w:type="dxa" w:w="2541"/>
            <w:shd w:fill="1A2332"/>
            <w:vAlign w:val="center"/>
          </w:tcPr>
          <w:p>
            <w:pPr>
              <w:jc w:val="center"/>
            </w:pPr>
            <w:r/>
            <w:r>
              <w:rPr>
                <w:rFonts w:ascii="Avenir Next" w:hAnsi="Avenir Next"/>
                <w:b/>
                <w:color w:val="FFFFFF"/>
                <w:sz w:val="19"/>
              </w:rPr>
              <w:t>After</w:t>
            </w:r>
          </w:p>
        </w:tc>
        <w:tc>
          <w:tcPr>
            <w:tcW w:type="dxa" w:w="2541"/>
            <w:shd w:fill="1A2332"/>
            <w:vAlign w:val="center"/>
          </w:tcPr>
          <w:p>
            <w:pPr>
              <w:jc w:val="center"/>
            </w:pPr>
            <w:r/>
            <w:r>
              <w:rPr>
                <w:rFonts w:ascii="Avenir Next" w:hAnsi="Avenir Next"/>
                <w:b/>
                <w:color w:val="FFFFFF"/>
                <w:sz w:val="19"/>
              </w:rPr>
              <w:t>Business meaning</w:t>
            </w:r>
          </w:p>
        </w:tc>
      </w:tr>
      <w:tr>
        <w:tc>
          <w:tcPr>
            <w:tcW w:type="dxa" w:w="2541"/>
            <w:shd w:fill="F7FAFC"/>
            <w:vAlign w:val="center"/>
          </w:tcPr>
          <w:p>
            <w:pPr>
              <w:jc w:val="left"/>
            </w:pPr>
            <w:r/>
            <w:r>
              <w:rPr>
                <w:rFonts w:ascii="Avenir Next" w:hAnsi="Avenir Next"/>
                <w:b w:val="0"/>
                <w:color w:val="1A202C"/>
                <w:sz w:val="18"/>
              </w:rPr>
              <w:t>Initial triage</w:t>
            </w:r>
          </w:p>
        </w:tc>
        <w:tc>
          <w:tcPr>
            <w:tcW w:type="dxa" w:w="2541"/>
            <w:shd w:fill="F7FAFC"/>
            <w:vAlign w:val="center"/>
          </w:tcPr>
          <w:p>
            <w:pPr>
              <w:jc w:val="left"/>
            </w:pPr>
            <w:r/>
            <w:r>
              <w:rPr>
                <w:rFonts w:ascii="Avenir Next" w:hAnsi="Avenir Next"/>
                <w:b w:val="0"/>
                <w:color w:val="1A202C"/>
                <w:sz w:val="18"/>
              </w:rPr>
              <w:t>Handled manually by experienced staff</w:t>
            </w:r>
          </w:p>
        </w:tc>
        <w:tc>
          <w:tcPr>
            <w:tcW w:type="dxa" w:w="2541"/>
            <w:shd w:fill="F7FAFC"/>
            <w:vAlign w:val="center"/>
          </w:tcPr>
          <w:p>
            <w:pPr>
              <w:jc w:val="left"/>
            </w:pPr>
            <w:r/>
            <w:r>
              <w:rPr>
                <w:rFonts w:ascii="Avenir Next" w:hAnsi="Avenir Next"/>
                <w:b w:val="0"/>
                <w:color w:val="1A202C"/>
                <w:sz w:val="18"/>
              </w:rPr>
              <w:t>Handled automatically for routine cases</w:t>
            </w:r>
          </w:p>
        </w:tc>
        <w:tc>
          <w:tcPr>
            <w:tcW w:type="dxa" w:w="2541"/>
            <w:shd w:fill="F7FAFC"/>
            <w:vAlign w:val="center"/>
          </w:tcPr>
          <w:p>
            <w:pPr>
              <w:jc w:val="left"/>
            </w:pPr>
            <w:r/>
            <w:r>
              <w:rPr>
                <w:rFonts w:ascii="Avenir Next" w:hAnsi="Avenir Next"/>
                <w:b w:val="0"/>
                <w:color w:val="1A202C"/>
                <w:sz w:val="18"/>
              </w:rPr>
              <w:t>Higher-value time reclaimed</w:t>
            </w:r>
          </w:p>
        </w:tc>
      </w:tr>
      <w:tr>
        <w:tc>
          <w:tcPr>
            <w:tcW w:type="dxa" w:w="2541"/>
            <w:vAlign w:val="center"/>
          </w:tcPr>
          <w:p>
            <w:pPr>
              <w:jc w:val="left"/>
            </w:pPr>
            <w:r/>
            <w:r>
              <w:rPr>
                <w:rFonts w:ascii="Avenir Next" w:hAnsi="Avenir Next"/>
                <w:b w:val="0"/>
                <w:color w:val="1A202C"/>
                <w:sz w:val="18"/>
              </w:rPr>
              <w:t>Escalation review</w:t>
            </w:r>
          </w:p>
        </w:tc>
        <w:tc>
          <w:tcPr>
            <w:tcW w:type="dxa" w:w="2541"/>
            <w:vAlign w:val="center"/>
          </w:tcPr>
          <w:p>
            <w:pPr>
              <w:jc w:val="left"/>
            </w:pPr>
            <w:r/>
            <w:r>
              <w:rPr>
                <w:rFonts w:ascii="Avenir Next" w:hAnsi="Avenir Next"/>
                <w:b w:val="0"/>
                <w:color w:val="1A202C"/>
                <w:sz w:val="18"/>
              </w:rPr>
              <w:t>Frequent rerouting after initial send</w:t>
            </w:r>
          </w:p>
        </w:tc>
        <w:tc>
          <w:tcPr>
            <w:tcW w:type="dxa" w:w="2541"/>
            <w:vAlign w:val="center"/>
          </w:tcPr>
          <w:p>
            <w:pPr>
              <w:jc w:val="left"/>
            </w:pPr>
            <w:r/>
            <w:r>
              <w:rPr>
                <w:rFonts w:ascii="Avenir Next" w:hAnsi="Avenir Next"/>
                <w:b w:val="0"/>
                <w:color w:val="1A202C"/>
                <w:sz w:val="18"/>
              </w:rPr>
              <w:t>Focused on low-confidence cases only</w:t>
            </w:r>
          </w:p>
        </w:tc>
        <w:tc>
          <w:tcPr>
            <w:tcW w:type="dxa" w:w="2541"/>
            <w:vAlign w:val="center"/>
          </w:tcPr>
          <w:p>
            <w:pPr>
              <w:jc w:val="left"/>
            </w:pPr>
            <w:r/>
            <w:r>
              <w:rPr>
                <w:rFonts w:ascii="Avenir Next" w:hAnsi="Avenir Next"/>
                <w:b w:val="0"/>
                <w:color w:val="1A202C"/>
                <w:sz w:val="18"/>
              </w:rPr>
              <w:t>Less rework and cleaner control ownership</w:t>
            </w:r>
          </w:p>
        </w:tc>
      </w:tr>
      <w:tr>
        <w:tc>
          <w:tcPr>
            <w:tcW w:type="dxa" w:w="2541"/>
            <w:shd w:fill="F7FAFC"/>
            <w:vAlign w:val="center"/>
          </w:tcPr>
          <w:p>
            <w:pPr>
              <w:jc w:val="left"/>
            </w:pPr>
            <w:r/>
            <w:r>
              <w:rPr>
                <w:rFonts w:ascii="Avenir Next" w:hAnsi="Avenir Next"/>
                <w:b w:val="0"/>
                <w:color w:val="1A202C"/>
                <w:sz w:val="18"/>
              </w:rPr>
              <w:t>Rule maintenance</w:t>
            </w:r>
          </w:p>
        </w:tc>
        <w:tc>
          <w:tcPr>
            <w:tcW w:type="dxa" w:w="2541"/>
            <w:shd w:fill="F7FAFC"/>
            <w:vAlign w:val="center"/>
          </w:tcPr>
          <w:p>
            <w:pPr>
              <w:jc w:val="left"/>
            </w:pPr>
            <w:r/>
            <w:r>
              <w:rPr>
                <w:rFonts w:ascii="Avenir Next" w:hAnsi="Avenir Next"/>
                <w:b w:val="0"/>
                <w:color w:val="1A202C"/>
                <w:sz w:val="18"/>
              </w:rPr>
              <w:t>Dependent on tribal knowledge</w:t>
            </w:r>
          </w:p>
        </w:tc>
        <w:tc>
          <w:tcPr>
            <w:tcW w:type="dxa" w:w="2541"/>
            <w:shd w:fill="F7FAFC"/>
            <w:vAlign w:val="center"/>
          </w:tcPr>
          <w:p>
            <w:pPr>
              <w:jc w:val="left"/>
            </w:pPr>
            <w:r/>
            <w:r>
              <w:rPr>
                <w:rFonts w:ascii="Avenir Next" w:hAnsi="Avenir Next"/>
                <w:b w:val="0"/>
                <w:color w:val="1A202C"/>
                <w:sz w:val="18"/>
              </w:rPr>
              <w:t>Editable through explicit mapping logic</w:t>
            </w:r>
          </w:p>
        </w:tc>
        <w:tc>
          <w:tcPr>
            <w:tcW w:type="dxa" w:w="2541"/>
            <w:shd w:fill="F7FAFC"/>
            <w:vAlign w:val="center"/>
          </w:tcPr>
          <w:p>
            <w:pPr>
              <w:jc w:val="left"/>
            </w:pPr>
            <w:r/>
            <w:r>
              <w:rPr>
                <w:rFonts w:ascii="Avenir Next" w:hAnsi="Avenir Next"/>
                <w:b w:val="0"/>
                <w:color w:val="1A202C"/>
                <w:sz w:val="18"/>
              </w:rPr>
              <w:t>More resilient workflow governance</w:t>
            </w:r>
          </w:p>
        </w:tc>
      </w:tr>
      <w:tr>
        <w:tc>
          <w:tcPr>
            <w:tcW w:type="dxa" w:w="2541"/>
            <w:vAlign w:val="center"/>
          </w:tcPr>
          <w:p>
            <w:pPr>
              <w:jc w:val="left"/>
            </w:pPr>
            <w:r/>
            <w:r>
              <w:rPr>
                <w:rFonts w:ascii="Avenir Next" w:hAnsi="Avenir Next"/>
                <w:b w:val="0"/>
                <w:color w:val="1A202C"/>
                <w:sz w:val="18"/>
              </w:rPr>
              <w:t>Management visibility</w:t>
            </w:r>
          </w:p>
        </w:tc>
        <w:tc>
          <w:tcPr>
            <w:tcW w:type="dxa" w:w="2541"/>
            <w:vAlign w:val="center"/>
          </w:tcPr>
          <w:p>
            <w:pPr>
              <w:jc w:val="left"/>
            </w:pPr>
            <w:r/>
            <w:r>
              <w:rPr>
                <w:rFonts w:ascii="Avenir Next" w:hAnsi="Avenir Next"/>
                <w:b w:val="0"/>
                <w:color w:val="1A202C"/>
                <w:sz w:val="18"/>
              </w:rPr>
              <w:t>Status visible, logic opaque</w:t>
            </w:r>
          </w:p>
        </w:tc>
        <w:tc>
          <w:tcPr>
            <w:tcW w:type="dxa" w:w="2541"/>
            <w:vAlign w:val="center"/>
          </w:tcPr>
          <w:p>
            <w:pPr>
              <w:jc w:val="left"/>
            </w:pPr>
            <w:r/>
            <w:r>
              <w:rPr>
                <w:rFonts w:ascii="Avenir Next" w:hAnsi="Avenir Next"/>
                <w:b w:val="0"/>
                <w:color w:val="1A202C"/>
                <w:sz w:val="18"/>
              </w:rPr>
              <w:t>Status and routing logic both visible</w:t>
            </w:r>
          </w:p>
        </w:tc>
        <w:tc>
          <w:tcPr>
            <w:tcW w:type="dxa" w:w="2541"/>
            <w:vAlign w:val="center"/>
          </w:tcPr>
          <w:p>
            <w:pPr>
              <w:jc w:val="left"/>
            </w:pPr>
            <w:r/>
            <w:r>
              <w:rPr>
                <w:rFonts w:ascii="Avenir Next" w:hAnsi="Avenir Next"/>
                <w:b w:val="0"/>
                <w:color w:val="1A202C"/>
                <w:sz w:val="18"/>
              </w:rPr>
              <w:t>Better control confidence</w:t>
            </w:r>
          </w:p>
        </w:tc>
      </w:tr>
    </w:tbl>
    <w:p>
      <w:pPr>
        <w:spacing w:after="40"/>
        <w:jc w:val="left"/>
      </w:pPr>
      <w:r>
        <w:rPr>
          <w:rFonts w:ascii="Avenir Next" w:hAnsi="Avenir Next"/>
          <w:b w:val="0"/>
          <w:color w:val="1A202C"/>
          <w:sz w:val="21"/>
        </w:rPr>
      </w:r>
    </w:p>
    <w:p>
      <w:pPr>
        <w:pStyle w:val="Heading1"/>
        <w:spacing w:before="200" w:after="80"/>
      </w:pPr>
      <w:r>
        <w:t>Transferability</w:t>
      </w:r>
    </w:p>
    <w:p>
      <w:pPr>
        <w:spacing w:after="120"/>
        <w:jc w:val="left"/>
      </w:pPr>
      <w:r>
        <w:rPr>
          <w:rFonts w:ascii="Avenir Next" w:hAnsi="Avenir Next"/>
          <w:b w:val="0"/>
          <w:color w:val="1A202C"/>
          <w:sz w:val="21"/>
        </w:rPr>
        <w:t>The pattern is reusable anywhere a team faces high-volume intake, non-trivial judgment, and routing consequences. What transfers is not the exact prompt design. What transfers is the architecture: classification, routing logic, thresholded review, and visible control points.</w:t>
      </w:r>
    </w:p>
    <w:p>
      <w:pPr>
        <w:pStyle w:val="ListBullet"/>
        <w:spacing w:after="40"/>
      </w:pPr>
      <w:r>
        <w:rPr>
          <w:rFonts w:ascii="Avenir Next" w:hAnsi="Avenir Next"/>
          <w:color w:val="1A202C"/>
          <w:sz w:val="20"/>
        </w:rPr>
        <w:t>Compliance or audit-document triage</w:t>
      </w:r>
    </w:p>
    <w:p>
      <w:pPr>
        <w:pStyle w:val="ListBullet"/>
        <w:spacing w:after="40"/>
      </w:pPr>
      <w:r>
        <w:rPr>
          <w:rFonts w:ascii="Avenir Next" w:hAnsi="Avenir Next"/>
          <w:color w:val="1A202C"/>
          <w:sz w:val="20"/>
        </w:rPr>
        <w:t>Legal or support-ticket intake routing</w:t>
      </w:r>
    </w:p>
    <w:p>
      <w:pPr>
        <w:pStyle w:val="ListBullet"/>
        <w:spacing w:after="40"/>
      </w:pPr>
      <w:r>
        <w:rPr>
          <w:rFonts w:ascii="Avenir Next" w:hAnsi="Avenir Next"/>
          <w:color w:val="1A202C"/>
          <w:sz w:val="20"/>
        </w:rPr>
        <w:t>Internal control or request-classification workflows</w:t>
      </w:r>
    </w:p>
    <w:p>
      <w:pPr>
        <w:pStyle w:val="ListBullet"/>
        <w:spacing w:after="40"/>
      </w:pPr>
      <w:r>
        <w:rPr>
          <w:rFonts w:ascii="Avenir Next" w:hAnsi="Avenir Next"/>
          <w:color w:val="1A202C"/>
          <w:sz w:val="20"/>
        </w:rPr>
        <w:t>Operational intelligence systems that need both speed and reviewability</w:t>
      </w:r>
    </w:p>
    <w:p>
      <w:pPr>
        <w:pStyle w:val="Heading1"/>
        <w:spacing w:before="200" w:after="80"/>
      </w:pPr>
      <w:r>
        <w:t>Evidence Register</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Evidence sources used in this case</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Source</w:t>
            </w:r>
          </w:p>
        </w:tc>
        <w:tc>
          <w:tcPr>
            <w:tcW w:type="dxa" w:w="3389"/>
            <w:shd w:fill="1A2332"/>
            <w:vAlign w:val="center"/>
          </w:tcPr>
          <w:p>
            <w:pPr>
              <w:jc w:val="center"/>
            </w:pPr>
            <w:r/>
            <w:r>
              <w:rPr>
                <w:rFonts w:ascii="Avenir Next" w:hAnsi="Avenir Next"/>
                <w:b/>
                <w:color w:val="FFFFFF"/>
                <w:sz w:val="19"/>
              </w:rPr>
              <w:t>Use in case</w:t>
            </w:r>
          </w:p>
        </w:tc>
        <w:tc>
          <w:tcPr>
            <w:tcW w:type="dxa" w:w="3389"/>
            <w:shd w:fill="1A2332"/>
            <w:vAlign w:val="center"/>
          </w:tcPr>
          <w:p>
            <w:pPr>
              <w:jc w:val="center"/>
            </w:pPr>
            <w:r/>
            <w:r>
              <w:rPr>
                <w:rFonts w:ascii="Avenir Next" w:hAnsi="Avenir Next"/>
                <w:b/>
                <w:color w:val="FFFFFF"/>
                <w:sz w:val="19"/>
              </w:rPr>
              <w:t>Status</w:t>
            </w:r>
          </w:p>
        </w:tc>
      </w:tr>
      <w:tr>
        <w:tc>
          <w:tcPr>
            <w:tcW w:type="dxa" w:w="3389"/>
            <w:shd w:fill="F7FAFC"/>
            <w:vAlign w:val="center"/>
          </w:tcPr>
          <w:p>
            <w:pPr>
              <w:jc w:val="left"/>
            </w:pPr>
            <w:r/>
            <w:r>
              <w:rPr>
                <w:rFonts w:ascii="Avenir Next" w:hAnsi="Avenir Next"/>
                <w:b w:val="0"/>
                <w:color w:val="1A202C"/>
                <w:sz w:val="18"/>
              </w:rPr>
              <w:t>01_AI_Workflow_Case_Study.docx</w:t>
            </w:r>
          </w:p>
        </w:tc>
        <w:tc>
          <w:tcPr>
            <w:tcW w:type="dxa" w:w="3389"/>
            <w:shd w:fill="F7FAFC"/>
            <w:vAlign w:val="center"/>
          </w:tcPr>
          <w:p>
            <w:pPr>
              <w:jc w:val="left"/>
            </w:pPr>
            <w:r/>
            <w:r>
              <w:rPr>
                <w:rFonts w:ascii="Avenir Next" w:hAnsi="Avenir Next"/>
                <w:b w:val="0"/>
                <w:color w:val="1A202C"/>
                <w:sz w:val="18"/>
              </w:rPr>
              <w:t>Original metrics and workflow details</w:t>
            </w:r>
          </w:p>
        </w:tc>
        <w:tc>
          <w:tcPr>
            <w:tcW w:type="dxa" w:w="3389"/>
            <w:shd w:fill="F7FAFC"/>
            <w:vAlign w:val="center"/>
          </w:tcPr>
          <w:p>
            <w:pPr>
              <w:jc w:val="left"/>
            </w:pPr>
            <w:r/>
            <w:r>
              <w:rPr>
                <w:rFonts w:ascii="Avenir Next" w:hAnsi="Avenir Next"/>
                <w:b w:val="0"/>
                <w:color w:val="1A202C"/>
                <w:sz w:val="18"/>
              </w:rPr>
              <w:t>Primary</w:t>
            </w:r>
          </w:p>
        </w:tc>
      </w:tr>
      <w:tr>
        <w:tc>
          <w:tcPr>
            <w:tcW w:type="dxa" w:w="3389"/>
            <w:vAlign w:val="center"/>
          </w:tcPr>
          <w:p>
            <w:pPr>
              <w:jc w:val="left"/>
            </w:pPr>
            <w:r/>
            <w:r>
              <w:rPr>
                <w:rFonts w:ascii="Avenir Next" w:hAnsi="Avenir Next"/>
                <w:b w:val="0"/>
                <w:color w:val="1A202C"/>
                <w:sz w:val="18"/>
              </w:rPr>
              <w:t>01_AI_Workflow_Case_Study_Santiago_Garces.docx</w:t>
            </w:r>
          </w:p>
        </w:tc>
        <w:tc>
          <w:tcPr>
            <w:tcW w:type="dxa" w:w="3389"/>
            <w:vAlign w:val="center"/>
          </w:tcPr>
          <w:p>
            <w:pPr>
              <w:jc w:val="left"/>
            </w:pPr>
            <w:r/>
            <w:r>
              <w:rPr>
                <w:rFonts w:ascii="Avenir Next" w:hAnsi="Avenir Next"/>
                <w:b w:val="0"/>
                <w:color w:val="1A202C"/>
                <w:sz w:val="18"/>
              </w:rPr>
              <w:t>Tighter executive narrative</w:t>
            </w:r>
          </w:p>
        </w:tc>
        <w:tc>
          <w:tcPr>
            <w:tcW w:type="dxa" w:w="3389"/>
            <w:vAlign w:val="center"/>
          </w:tcPr>
          <w:p>
            <w:pPr>
              <w:jc w:val="left"/>
            </w:pPr>
            <w:r/>
            <w:r>
              <w:rPr>
                <w:rFonts w:ascii="Avenir Next" w:hAnsi="Avenir Next"/>
                <w:b w:val="0"/>
                <w:color w:val="1A202C"/>
                <w:sz w:val="18"/>
              </w:rPr>
              <w:t>Primary</w:t>
            </w:r>
          </w:p>
        </w:tc>
      </w:tr>
      <w:tr>
        <w:tc>
          <w:tcPr>
            <w:tcW w:type="dxa" w:w="3389"/>
            <w:shd w:fill="F7FAFC"/>
            <w:vAlign w:val="center"/>
          </w:tcPr>
          <w:p>
            <w:pPr>
              <w:jc w:val="left"/>
            </w:pPr>
            <w:r/>
            <w:r>
              <w:rPr>
                <w:rFonts w:ascii="Avenir Next" w:hAnsi="Avenir Next"/>
                <w:b w:val="0"/>
                <w:color w:val="1A202C"/>
                <w:sz w:val="18"/>
              </w:rPr>
              <w:t>08-Applications-of-Data-Analytics-in-Auditing.pptx</w:t>
            </w:r>
          </w:p>
        </w:tc>
        <w:tc>
          <w:tcPr>
            <w:tcW w:type="dxa" w:w="3389"/>
            <w:shd w:fill="F7FAFC"/>
            <w:vAlign w:val="center"/>
          </w:tcPr>
          <w:p>
            <w:pPr>
              <w:jc w:val="left"/>
            </w:pPr>
            <w:r/>
            <w:r>
              <w:rPr>
                <w:rFonts w:ascii="Avenir Next" w:hAnsi="Avenir Next"/>
                <w:b w:val="0"/>
                <w:color w:val="1A202C"/>
                <w:sz w:val="18"/>
              </w:rPr>
              <w:t>Reference for audit-analytics framing</w:t>
            </w:r>
          </w:p>
        </w:tc>
        <w:tc>
          <w:tcPr>
            <w:tcW w:type="dxa" w:w="3389"/>
            <w:shd w:fill="F7FAFC"/>
            <w:vAlign w:val="center"/>
          </w:tcPr>
          <w:p>
            <w:pPr>
              <w:jc w:val="left"/>
            </w:pPr>
            <w:r/>
            <w:r>
              <w:rPr>
                <w:rFonts w:ascii="Avenir Next" w:hAnsi="Avenir Next"/>
                <w:b w:val="0"/>
                <w:color w:val="1A202C"/>
                <w:sz w:val="18"/>
              </w:rPr>
              <w:t>Reference-only</w:t>
            </w:r>
          </w:p>
        </w:tc>
      </w:tr>
    </w:tbl>
    <w:p>
      <w:pPr>
        <w:spacing w:after="40"/>
        <w:jc w:val="left"/>
      </w:pPr>
      <w:r>
        <w:rPr>
          <w:rFonts w:ascii="Avenir Next" w:hAnsi="Avenir Next"/>
          <w:b w:val="0"/>
          <w:color w:val="1A202C"/>
          <w:sz w:val="21"/>
        </w:rPr>
      </w:r>
    </w:p>
    <w:p>
      <w:pPr>
        <w:pStyle w:val="Heading1"/>
        <w:spacing w:before="200" w:after="80"/>
      </w:pPr>
      <w:r>
        <w:t>Author and Contact</w:t>
      </w:r>
    </w:p>
    <w:p>
      <w:pPr>
        <w:spacing w:after="120"/>
        <w:jc w:val="left"/>
      </w:pPr>
      <w:r>
        <w:rPr>
          <w:rFonts w:ascii="Avenir Next" w:hAnsi="Avenir Next"/>
          <w:b w:val="0"/>
          <w:color w:val="1A202C"/>
          <w:sz w:val="21"/>
        </w:rPr>
        <w:t>Santiago Garces Chavarria turns fragmented market, regulatory, operational, and financial information into decision-ready outputs. His edge sits at the intersection of regulated operations, structured research, and AI-enabled workflow execution.</w:t>
      </w:r>
    </w:p>
    <w:p>
      <w:pPr>
        <w:spacing w:after="120"/>
        <w:jc w:val="left"/>
      </w:pPr>
      <w:r>
        <w:rPr>
          <w:rFonts w:ascii="Avenir Next" w:hAnsi="Avenir Next"/>
          <w:b/>
          <w:color w:val="2C5282"/>
          <w:sz w:val="21"/>
        </w:rPr>
        <w:t>For recruiter review or project discussion, email santiago.garces.blevine@gmail.com. Include the role or problem, timeline, and expected deliverable format.</w:t>
      </w:r>
    </w:p>
    <w:sectPr w:rsidR="00FC693F" w:rsidRPr="0006063C" w:rsidSect="00034616">
      <w:pgSz w:w="12240" w:h="15840"/>
      <w:pgMar w:top="1080"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venir Next" w:hAnsi="Avenir Next"/>
        <w:color w:val="4A5568"/>
        <w:sz w:val="16"/>
      </w:rPr>
      <w:t>Santiago Garces Chavarria | santiago.garces.blevine@gmail.com | Flagship Case 01 | Operational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venir Next" w:hAnsi="Avenir Next"/>
      <w:b/>
      <w:bCs/>
      <w:color w:val="1A23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venir Next" w:hAnsi="Avenir Next"/>
      <w:b/>
      <w:bCs/>
      <w:color w:val="2C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