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55a30e9ae3644010" /></Relationships>
</file>

<file path=word/document.xml><?xml version="1.0" encoding="utf-8"?>
<w:document xmlns:w="http://schemas.openxmlformats.org/wordprocessingml/2006/main">
  <w:body>
    <w:p>
      <w:pPr>
        <w:spacing w:before="3600"/>
      </w:pPr>
      <w:r/>
    </w:p>
    <w:p>
      <w:pPr>
        <w:jc w:val="left"/>
        <w:ind w:left="1200" w:right="1200"/>
        <w:spacing w:after="200"/>
      </w:pPr>
      <w:r>
        <w:rPr>
          <w:sz w:val="20"/>
          <w:color w:val="718096"/>
          <w:spacing w:val="60"/>
        </w:rPr>
        <w:t>Process Automation  |  AI Systems  |  Regulated Financial Services</w:t>
      </w:r>
    </w:p>
    <w:p>
      <w:pPr>
        <w:spacing w:before="600"/>
      </w:pPr>
      <w:r/>
    </w:p>
    <w:p>
      <w:pPr>
        <w:jc w:val="left"/>
        <w:ind w:left="1200" w:right="1200"/>
        <w:spacing w:after="300"/>
      </w:pPr>
      <w:r>
        <w:rPr>
          <w:sz w:val="56"/>
          <w:color w:val="1a2332"/>
          <w:b/>
          <w:spacing w:val="20"/>
        </w:rPr>
        <w:t>AI-Powered Document Routing: 97% Accuracy, 24+ Hours Saved Weekly</w:t>
      </w:r>
    </w:p>
    <w:p>
      <w:pPr>
        <w:jc w:val="left"/>
        <w:ind w:left="1200" w:right="1200"/>
        <w:spacing w:after="3600"/>
      </w:pPr>
      <w:r>
        <w:rPr>
          <w:sz w:val="28"/>
          <w:color w:val="2c5282"/>
        </w:rPr>
        <w:t>Operational Intelligence Case Study</w:t>
      </w:r>
    </w:p>
    <w:p>
      <w:pPr>
        <w:ind w:left="1200"/>
      </w:pPr>
      <w:r>
        <w:rPr>
          <w:sz w:val="18"/>
          <w:color w:val="4a5568"/>
        </w:rPr>
        <w:t>Santiago Garces Chavarria  |  santiago.garces.blevine@gmail.com  |  Medellin, Colombia</w:t>
      </w:r>
    </w:p>
    <w:p>
      <w:pPr>
        <w:spacing w:before="400"/>
      </w:pPr>
      <w:r/>
    </w:p>
    <w:p>
      <w:pPr>
        <w:sectPr>
          <w:titlePg/>
          <w:type w:val="nextPage"/>
          <w:pgSz w:w="11906" w:h="16838"/>
          <w:pgMar w:top="0" w:right="0" w:bottom="0" w:left="0" w:header="0" w:footer="0"/>
        </w:sectPr>
      </w:pPr>
    </w:p>
    <w:p>
      <w:pPr>
        <w:pStyle w:val="Heading1"/>
      </w:pPr>
      <w:r>
        <w:t>Executive Summary</w:t>
      </w:r>
    </w:p>
    <w:p>
      <w:r>
        <w:t>A regulated financial services firm processed over 650 fiscal audit requirements annually through manual classification and routing. The process consumed 24+ staff hours weekly, introduced categorization errors, and delayed audit response times. I designed and deployed a multi-agent AI system using Claude API and OpenAI API integrated through Python that achieved 97%+ assignment accuracy and eliminated manual routing entirely.</w:t>
      </w:r>
    </w:p>
    <w:p>
      <w:pPr>
        <w:pBdr>
          <w:left w:val="single" w:color="2c5282" w:sz="18" w:space="8"/>
        </w:pBdr>
        <w:ind w:left="400"/>
        <w:spacing w:before="200" w:after="200"/>
      </w:pPr>
      <w:r>
        <w:rPr>
          <w:i/>
          <w:color w:val="4a5568"/>
        </w:rPr>
        <w:t>Work Type: Anonymized from real experience at a regulated financial institution. All metrics are authentic.</w:t>
      </w:r>
    </w:p>
    <w:p>
      <w:pPr>
        <w:pStyle w:val="Heading1"/>
      </w:pPr>
      <w:r>
        <w:t>1. Problem Context</w:t>
      </w:r>
    </w:p>
    <w:p>
      <w:r>
        <w:t>The organization operated under constant audit pressure from PwC fiscal audit requirements spanning legal, financial, and operational domains. Each audit item required manual classification by type, priority assessment, and routing to the responsible department head.</w:t>
      </w:r>
    </w:p>
    <w:p>
      <w:pPr>
        <w:numPr>
          <w:ilvl w:val="0"/>
          <w:numId w:val="1"/>
        </w:numPr>
      </w:pPr>
      <w:r>
        <w:t>Time Consumption: 24+ hours of senior staff time weekly spent on mechanical sorting tasks</w:t>
      </w:r>
    </w:p>
    <w:p>
      <w:pPr>
        <w:numPr>
          <w:ilvl w:val="0"/>
          <w:numId w:val="1"/>
        </w:numPr>
      </w:pPr>
      <w:r>
        <w:t>Error Rate: Inconsistent categorization led to misrouted items, delayed responses, and audit friction</w:t>
      </w:r>
    </w:p>
    <w:p>
      <w:pPr>
        <w:numPr>
          <w:ilvl w:val="0"/>
          <w:numId w:val="1"/>
        </w:numPr>
      </w:pPr>
      <w:r>
        <w:t>Scalability Bottleneck: Volume growth would require proportional headcount increase</w:t>
      </w:r>
    </w:p>
    <w:p>
      <w:pPr>
        <w:pStyle w:val="Heading1"/>
      </w:pPr>
      <w:r>
        <w:t>2. Before State</w:t>
      </w:r>
    </w:p>
    <w:tbl>
      <w:tblPr>
        <w:tblW w:w="5000" w:type="pct"/>
        <w:tblBorders>
          <w:top w:val="single" w:color="2c5282" w:sz="8"/>
          <w:bottom w:val="single" w:color="2c5282" w:sz="8"/>
          <w:insideH w:val="single" w:color="e2e8f0" w:sz="4"/>
        </w:tblBorders>
      </w:tblPr>
      <w:tblGrid>
        <w:gridCol w:w="5000"/>
        <w:gridCol w:w="5000"/>
      </w:tblGrid>
      <w:tr>
        <w:trPr>
          <w:tblHeader/>
        </w:trPr>
        <w:tc>
          <w:tcPr>
            <w:tcW w:w="5000" w:type="dxa"/>
            <w:shd w:val="clear" w:fill="edf2f7"/>
          </w:tcPr>
          <w:p>
            <w:pPr>
              <w:jc w:val="center"/>
              <w:spacing w:before="60" w:after="60"/>
            </w:pPr>
            <w:r>
              <w:rPr>
                <w:b/>
                <w:sz w:val="18"/>
                <w:color w:val="1a202c"/>
              </w:rPr>
              <w:t>Metric</w:t>
            </w:r>
          </w:p>
        </w:tc>
        <w:tc>
          <w:tcPr>
            <w:tcW w:w="5000" w:type="dxa"/>
            <w:shd w:val="clear" w:fill="edf2f7"/>
          </w:tcPr>
          <w:p>
            <w:pPr>
              <w:jc w:val="center"/>
              <w:spacing w:before="60" w:after="60"/>
            </w:pPr>
            <w:r>
              <w:rPr>
                <w:b/>
                <w:sz w:val="18"/>
                <w:color w:val="1a202c"/>
              </w:rPr>
              <w:t>Before State</w:t>
            </w:r>
          </w:p>
        </w:tc>
      </w:tr>
      <w:tr>
        <w:tc>
          <w:tcPr>
            <w:tcW w:w="5000" w:type="dxa"/>
          </w:tcPr>
          <w:p>
            <w:pPr>
              <w:spacing w:before="40" w:after="40"/>
            </w:pPr>
            <w:r>
              <w:rPr>
                <w:sz w:val="18"/>
                <w:color w:val="4a5568"/>
              </w:rPr>
              <w:t xml:space="preserve">Avg. processing time per item</w:t>
            </w:r>
          </w:p>
        </w:tc>
        <w:tc>
          <w:tcPr>
            <w:tcW w:w="5000" w:type="dxa"/>
          </w:tcPr>
          <w:p>
            <w:pPr>
              <w:spacing w:before="40" w:after="40"/>
            </w:pPr>
            <w:r>
              <w:rPr>
                <w:sz w:val="18"/>
                <w:color w:val="4a5568"/>
              </w:rPr>
              <w:t xml:space="preserve">15-20 minutes</w:t>
            </w:r>
          </w:p>
        </w:tc>
      </w:tr>
      <w:tr>
        <w:tc>
          <w:tcPr>
            <w:tcW w:w="5000" w:type="dxa"/>
          </w:tcPr>
          <w:p>
            <w:pPr>
              <w:spacing w:before="40" w:after="40"/>
            </w:pPr>
            <w:r>
              <w:rPr>
                <w:sz w:val="18"/>
                <w:color w:val="4a5568"/>
              </w:rPr>
              <w:t xml:space="preserve">Weekly staff hours consumed</w:t>
            </w:r>
          </w:p>
        </w:tc>
        <w:tc>
          <w:tcPr>
            <w:tcW w:w="5000" w:type="dxa"/>
          </w:tcPr>
          <w:p>
            <w:pPr>
              <w:spacing w:before="40" w:after="40"/>
            </w:pPr>
            <w:r>
              <w:rPr>
                <w:sz w:val="18"/>
                <w:color w:val="4a5568"/>
              </w:rPr>
              <w:t xml:space="preserve">24+ hours</w:t>
            </w:r>
          </w:p>
        </w:tc>
      </w:tr>
      <w:tr>
        <w:tc>
          <w:tcPr>
            <w:tcW w:w="5000" w:type="dxa"/>
          </w:tcPr>
          <w:p>
            <w:pPr>
              <w:spacing w:before="40" w:after="40"/>
            </w:pPr>
            <w:r>
              <w:rPr>
                <w:sz w:val="18"/>
                <w:color w:val="4a5568"/>
              </w:rPr>
              <w:t xml:space="preserve">Classification accuracy</w:t>
            </w:r>
          </w:p>
        </w:tc>
        <w:tc>
          <w:tcPr>
            <w:tcW w:w="5000" w:type="dxa"/>
          </w:tcPr>
          <w:p>
            <w:pPr>
              <w:spacing w:before="40" w:after="40"/>
            </w:pPr>
            <w:r>
              <w:rPr>
                <w:sz w:val="18"/>
                <w:color w:val="4a5568"/>
              </w:rPr>
              <w:t xml:space="preserve">~88% (estimated)</w:t>
            </w:r>
          </w:p>
        </w:tc>
      </w:tr>
      <w:tr>
        <w:tc>
          <w:tcPr>
            <w:tcW w:w="5000" w:type="dxa"/>
          </w:tcPr>
          <w:p>
            <w:pPr>
              <w:spacing w:before="40" w:after="40"/>
            </w:pPr>
            <w:r>
              <w:rPr>
                <w:sz w:val="18"/>
                <w:color w:val="4a5568"/>
              </w:rPr>
              <w:t xml:space="preserve">Misroute escalation rate</w:t>
            </w:r>
          </w:p>
        </w:tc>
        <w:tc>
          <w:tcPr>
            <w:tcW w:w="5000" w:type="dxa"/>
          </w:tcPr>
          <w:p>
            <w:pPr>
              <w:spacing w:before="40" w:after="40"/>
            </w:pPr>
            <w:r>
              <w:rPr>
                <w:sz w:val="18"/>
                <w:color w:val="4a5568"/>
              </w:rPr>
              <w:t xml:space="preserve">~12%</w:t>
            </w:r>
          </w:p>
        </w:tc>
      </w:tr>
      <w:tr>
        <w:tc>
          <w:tcPr>
            <w:tcW w:w="5000" w:type="dxa"/>
          </w:tcPr>
          <w:p>
            <w:pPr>
              <w:spacing w:before="40" w:after="40"/>
            </w:pPr>
            <w:r>
              <w:rPr>
                <w:sz w:val="18"/>
                <w:color w:val="4a5568"/>
              </w:rPr>
              <w:t xml:space="preserve">Response time to audit requirements</w:t>
            </w:r>
          </w:p>
        </w:tc>
        <w:tc>
          <w:tcPr>
            <w:tcW w:w="5000" w:type="dxa"/>
          </w:tcPr>
          <w:p>
            <w:pPr>
              <w:spacing w:before="40" w:after="40"/>
            </w:pPr>
            <w:r>
              <w:rPr>
                <w:sz w:val="18"/>
                <w:color w:val="4a5568"/>
              </w:rPr>
              <w:t xml:space="preserve">24-48 hours</w:t>
            </w:r>
          </w:p>
        </w:tc>
      </w:tr>
    </w:tbl>
    <w:p>
      <w:pPr>
        <w:pStyle w:val="Heading1"/>
      </w:pPr>
      <w:r>
        <w:t>3. Solution Architecture</w:t>
      </w:r>
    </w:p>
    <w:p>
      <w:r>
        <w:t>I built a multi-agent system with three integrated layers:</w:t>
      </w:r>
    </w:p>
    <w:p>
      <w:pPr>
        <w:pStyle w:val="Heading2"/>
      </w:pPr>
      <w:r>
        <w:t>Classification Agent</w:t>
      </w:r>
    </w:p>
    <w:p>
      <w:r>
        <w:t>Receives raw audit requirement text, extracts key entities (requirement type, deadline, responsible function), and assigns primary category using few-shot prompting with Claude API.</w:t>
      </w:r>
    </w:p>
    <w:p>
      <w:pPr>
        <w:pStyle w:val="Heading2"/>
      </w:pPr>
      <w:r>
        <w:t>Routing Logic</w:t>
      </w:r>
    </w:p>
    <w:p>
      <w:r>
        <w:t>Maps classified requirements to departmental owners based on a dynamic routing matrix that can be updated without code changes.</w:t>
      </w:r>
    </w:p>
    <w:p>
      <w:pPr>
        <w:pStyle w:val="Heading2"/>
      </w:pPr>
      <w:r>
        <w:t>Validation Layer</w:t>
      </w:r>
    </w:p>
    <w:p>
      <w:r>
        <w:t>Confidence scoring on classification output. Items below 0.85 confidence flagged for human review. Items above auto-routed with full audit trail.</w:t>
      </w:r>
    </w:p>
    <w:p>
      <w:pPr>
        <w:pStyle w:val="Heading1"/>
      </w:pPr>
      <w:r>
        <w:t>4. Technical Stack</w:t>
      </w:r>
    </w:p>
    <w:tbl>
      <w:tblPr>
        <w:tblW w:w="5000" w:type="pct"/>
        <w:tblBorders>
          <w:top w:val="single" w:color="2c5282" w:sz="8"/>
          <w:bottom w:val="single" w:color="2c5282" w:sz="8"/>
          <w:insideH w:val="single" w:color="e2e8f0" w:sz="4"/>
        </w:tblBorders>
      </w:tblPr>
      <w:tblGrid>
        <w:gridCol w:w="3333"/>
        <w:gridCol w:w="3333"/>
        <w:gridCol w:w="3333"/>
      </w:tblGrid>
      <w:tr>
        <w:trPr>
          <w:tblHeader/>
        </w:trPr>
        <w:tc>
          <w:tcPr>
            <w:tcW w:w="3333" w:type="dxa"/>
            <w:shd w:val="clear" w:fill="edf2f7"/>
          </w:tcPr>
          <w:p>
            <w:pPr>
              <w:jc w:val="center"/>
              <w:spacing w:before="60" w:after="60"/>
            </w:pPr>
            <w:r>
              <w:rPr>
                <w:b/>
                <w:sz w:val="18"/>
                <w:color w:val="1a202c"/>
              </w:rPr>
              <w:t>Component</w:t>
            </w:r>
          </w:p>
        </w:tc>
        <w:tc>
          <w:tcPr>
            <w:tcW w:w="3333" w:type="dxa"/>
            <w:shd w:val="clear" w:fill="edf2f7"/>
          </w:tcPr>
          <w:p>
            <w:pPr>
              <w:jc w:val="center"/>
              <w:spacing w:before="60" w:after="60"/>
            </w:pPr>
            <w:r>
              <w:rPr>
                <w:b/>
                <w:sz w:val="18"/>
                <w:color w:val="1a202c"/>
              </w:rPr>
              <w:t>Technology</w:t>
            </w:r>
          </w:p>
        </w:tc>
        <w:tc>
          <w:tcPr>
            <w:tcW w:w="3333" w:type="dxa"/>
            <w:shd w:val="clear" w:fill="edf2f7"/>
          </w:tcPr>
          <w:p>
            <w:pPr>
              <w:jc w:val="center"/>
              <w:spacing w:before="60" w:after="60"/>
            </w:pPr>
            <w:r>
              <w:rPr>
                <w:b/>
                <w:sz w:val="18"/>
                <w:color w:val="1a202c"/>
              </w:rPr>
              <w:t>Purpose</w:t>
            </w:r>
          </w:p>
        </w:tc>
      </w:tr>
      <w:tr>
        <w:tc>
          <w:tcPr>
            <w:tcW w:w="3333" w:type="dxa"/>
          </w:tcPr>
          <w:p>
            <w:pPr>
              <w:spacing w:before="40" w:after="40"/>
            </w:pPr>
            <w:r>
              <w:rPr>
                <w:sz w:val="18"/>
                <w:color w:val="4a5568"/>
              </w:rPr>
              <w:t xml:space="preserve">Primary LLM</w:t>
            </w:r>
          </w:p>
        </w:tc>
        <w:tc>
          <w:tcPr>
            <w:tcW w:w="3333" w:type="dxa"/>
          </w:tcPr>
          <w:p>
            <w:pPr>
              <w:spacing w:before="40" w:after="40"/>
            </w:pPr>
            <w:r>
              <w:rPr>
                <w:sz w:val="18"/>
                <w:color w:val="4a5568"/>
              </w:rPr>
              <w:t xml:space="preserve">Claude API (Anthropic)</w:t>
            </w:r>
          </w:p>
        </w:tc>
        <w:tc>
          <w:tcPr>
            <w:tcW w:w="3333" w:type="dxa"/>
          </w:tcPr>
          <w:p>
            <w:pPr>
              <w:spacing w:before="40" w:after="40"/>
            </w:pPr>
            <w:r>
              <w:rPr>
                <w:sz w:val="18"/>
                <w:color w:val="4a5568"/>
              </w:rPr>
              <w:t xml:space="preserve">Complex requirement classification</w:t>
            </w:r>
          </w:p>
        </w:tc>
      </w:tr>
      <w:tr>
        <w:tc>
          <w:tcPr>
            <w:tcW w:w="3333" w:type="dxa"/>
          </w:tcPr>
          <w:p>
            <w:pPr>
              <w:spacing w:before="40" w:after="40"/>
            </w:pPr>
            <w:r>
              <w:rPr>
                <w:sz w:val="18"/>
                <w:color w:val="4a5568"/>
              </w:rPr>
              <w:t xml:space="preserve">Secondary LLM</w:t>
            </w:r>
          </w:p>
        </w:tc>
        <w:tc>
          <w:tcPr>
            <w:tcW w:w="3333" w:type="dxa"/>
          </w:tcPr>
          <w:p>
            <w:pPr>
              <w:spacing w:before="40" w:after="40"/>
            </w:pPr>
            <w:r>
              <w:rPr>
                <w:sz w:val="18"/>
                <w:color w:val="4a5568"/>
              </w:rPr>
              <w:t xml:space="preserve">OpenAI API</w:t>
            </w:r>
          </w:p>
        </w:tc>
        <w:tc>
          <w:tcPr>
            <w:tcW w:w="3333" w:type="dxa"/>
          </w:tcPr>
          <w:p>
            <w:pPr>
              <w:spacing w:before="40" w:after="40"/>
            </w:pPr>
            <w:r>
              <w:rPr>
                <w:sz w:val="18"/>
                <w:color w:val="4a5568"/>
              </w:rPr>
              <w:t xml:space="preserve">Validation and entity extraction</w:t>
            </w:r>
          </w:p>
        </w:tc>
      </w:tr>
      <w:tr>
        <w:tc>
          <w:tcPr>
            <w:tcW w:w="3333" w:type="dxa"/>
          </w:tcPr>
          <w:p>
            <w:pPr>
              <w:spacing w:before="40" w:after="40"/>
            </w:pPr>
            <w:r>
              <w:rPr>
                <w:sz w:val="18"/>
                <w:color w:val="4a5568"/>
              </w:rPr>
              <w:t xml:space="preserve">Orchestration</w:t>
            </w:r>
          </w:p>
        </w:tc>
        <w:tc>
          <w:tcPr>
            <w:tcW w:w="3333" w:type="dxa"/>
          </w:tcPr>
          <w:p>
            <w:pPr>
              <w:spacing w:before="40" w:after="40"/>
            </w:pPr>
            <w:r>
              <w:rPr>
                <w:sz w:val="18"/>
                <w:color w:val="4a5568"/>
              </w:rPr>
              <w:t xml:space="preserve">Python</w:t>
            </w:r>
          </w:p>
        </w:tc>
        <w:tc>
          <w:tcPr>
            <w:tcW w:w="3333" w:type="dxa"/>
          </w:tcPr>
          <w:p>
            <w:pPr>
              <w:spacing w:before="40" w:after="40"/>
            </w:pPr>
            <w:r>
              <w:rPr>
                <w:sz w:val="18"/>
                <w:color w:val="4a5568"/>
              </w:rPr>
              <w:t xml:space="preserve">API integration and workflow logic</w:t>
            </w:r>
          </w:p>
        </w:tc>
      </w:tr>
      <w:tr>
        <w:tc>
          <w:tcPr>
            <w:tcW w:w="3333" w:type="dxa"/>
          </w:tcPr>
          <w:p>
            <w:pPr>
              <w:spacing w:before="40" w:after="40"/>
            </w:pPr>
            <w:r>
              <w:rPr>
                <w:sz w:val="18"/>
                <w:color w:val="4a5568"/>
              </w:rPr>
              <w:t xml:space="preserve">Routing Matrix</w:t>
            </w:r>
          </w:p>
        </w:tc>
        <w:tc>
          <w:tcPr>
            <w:tcW w:w="3333" w:type="dxa"/>
          </w:tcPr>
          <w:p>
            <w:pPr>
              <w:spacing w:before="40" w:after="40"/>
            </w:pPr>
            <w:r>
              <w:rPr>
                <w:sz w:val="18"/>
                <w:color w:val="4a5568"/>
              </w:rPr>
              <w:t xml:space="preserve">Google Sheets</w:t>
            </w:r>
          </w:p>
        </w:tc>
        <w:tc>
          <w:tcPr>
            <w:tcW w:w="3333" w:type="dxa"/>
          </w:tcPr>
          <w:p>
            <w:pPr>
              <w:spacing w:before="40" w:after="40"/>
            </w:pPr>
            <w:r>
              <w:rPr>
                <w:sz w:val="18"/>
                <w:color w:val="4a5568"/>
              </w:rPr>
              <w:t xml:space="preserve">Lightweight configuration and audit log</w:t>
            </w:r>
          </w:p>
        </w:tc>
      </w:tr>
      <w:tr>
        <w:tc>
          <w:tcPr>
            <w:tcW w:w="3333" w:type="dxa"/>
          </w:tcPr>
          <w:p>
            <w:pPr>
              <w:spacing w:before="40" w:after="40"/>
            </w:pPr>
            <w:r>
              <w:rPr>
                <w:sz w:val="18"/>
                <w:color w:val="4a5568"/>
              </w:rPr>
              <w:t xml:space="preserve">Distribution</w:t>
            </w:r>
          </w:p>
        </w:tc>
        <w:tc>
          <w:tcPr>
            <w:tcW w:w="3333" w:type="dxa"/>
          </w:tcPr>
          <w:p>
            <w:pPr>
              <w:spacing w:before="40" w:after="40"/>
            </w:pPr>
            <w:r>
              <w:rPr>
                <w:sz w:val="18"/>
                <w:color w:val="4a5568"/>
              </w:rPr>
              <w:t xml:space="preserve">Email API</w:t>
            </w:r>
          </w:p>
        </w:tc>
        <w:tc>
          <w:tcPr>
            <w:tcW w:w="3333" w:type="dxa"/>
          </w:tcPr>
          <w:p>
            <w:pPr>
              <w:spacing w:before="40" w:after="40"/>
            </w:pPr>
            <w:r>
              <w:rPr>
                <w:sz w:val="18"/>
                <w:color w:val="4a5568"/>
              </w:rPr>
              <w:t xml:space="preserve">Automated routing and notification</w:t>
            </w:r>
          </w:p>
        </w:tc>
      </w:tr>
    </w:tbl>
    <w:p>
      <w:pPr>
        <w:pStyle w:val="Heading1"/>
      </w:pPr>
      <w:r>
        <w:t>5. Results</w:t>
      </w:r>
    </w:p>
    <w:tbl>
      <w:tblPr>
        <w:tblW w:w="5000" w:type="pct"/>
        <w:tblBorders>
          <w:top w:val="single" w:color="2c5282" w:sz="8"/>
          <w:bottom w:val="single" w:color="2c5282" w:sz="8"/>
          <w:insideH w:val="single" w:color="e2e8f0" w:sz="4"/>
        </w:tblBorders>
      </w:tblPr>
      <w:tblGrid>
        <w:gridCol w:w="2500"/>
        <w:gridCol w:w="2500"/>
        <w:gridCol w:w="2500"/>
        <w:gridCol w:w="2500"/>
      </w:tblGrid>
      <w:tr>
        <w:trPr>
          <w:tblHeader/>
        </w:trPr>
        <w:tc>
          <w:tcPr>
            <w:tcW w:w="2500" w:type="dxa"/>
            <w:shd w:val="clear" w:fill="edf2f7"/>
          </w:tcPr>
          <w:p>
            <w:pPr>
              <w:jc w:val="center"/>
              <w:spacing w:before="60" w:after="60"/>
            </w:pPr>
            <w:r>
              <w:rPr>
                <w:b/>
                <w:sz w:val="18"/>
                <w:color w:val="1a202c"/>
              </w:rPr>
              <w:t>Metric</w:t>
            </w:r>
          </w:p>
        </w:tc>
        <w:tc>
          <w:tcPr>
            <w:tcW w:w="2500" w:type="dxa"/>
            <w:shd w:val="clear" w:fill="edf2f7"/>
          </w:tcPr>
          <w:p>
            <w:pPr>
              <w:jc w:val="center"/>
              <w:spacing w:before="60" w:after="60"/>
            </w:pPr>
            <w:r>
              <w:rPr>
                <w:b/>
                <w:sz w:val="18"/>
                <w:color w:val="1a202c"/>
              </w:rPr>
              <w:t>Before</w:t>
            </w:r>
          </w:p>
        </w:tc>
        <w:tc>
          <w:tcPr>
            <w:tcW w:w="2500" w:type="dxa"/>
            <w:shd w:val="clear" w:fill="edf2f7"/>
          </w:tcPr>
          <w:p>
            <w:pPr>
              <w:jc w:val="center"/>
              <w:spacing w:before="60" w:after="60"/>
            </w:pPr>
            <w:r>
              <w:rPr>
                <w:b/>
                <w:sz w:val="18"/>
                <w:color w:val="1a202c"/>
              </w:rPr>
              <w:t>After</w:t>
            </w:r>
          </w:p>
        </w:tc>
        <w:tc>
          <w:tcPr>
            <w:tcW w:w="2500" w:type="dxa"/>
            <w:shd w:val="clear" w:fill="edf2f7"/>
          </w:tcPr>
          <w:p>
            <w:pPr>
              <w:jc w:val="center"/>
              <w:spacing w:before="60" w:after="60"/>
            </w:pPr>
            <w:r>
              <w:rPr>
                <w:b/>
                <w:sz w:val="18"/>
                <w:color w:val="1a202c"/>
              </w:rPr>
              <w:t>Improvement</w:t>
            </w:r>
          </w:p>
        </w:tc>
      </w:tr>
      <w:tr>
        <w:tc>
          <w:tcPr>
            <w:tcW w:w="2500" w:type="dxa"/>
          </w:tcPr>
          <w:p>
            <w:pPr>
              <w:spacing w:before="40" w:after="40"/>
            </w:pPr>
            <w:r>
              <w:rPr>
                <w:sz w:val="18"/>
                <w:color w:val="4a5568"/>
              </w:rPr>
              <w:t xml:space="preserve">Processing time per item</w:t>
            </w:r>
          </w:p>
        </w:tc>
        <w:tc>
          <w:tcPr>
            <w:tcW w:w="2500" w:type="dxa"/>
          </w:tcPr>
          <w:p>
            <w:pPr>
              <w:spacing w:before="40" w:after="40"/>
            </w:pPr>
            <w:r>
              <w:rPr>
                <w:sz w:val="18"/>
                <w:color w:val="4a5568"/>
              </w:rPr>
              <w:t xml:space="preserve">15-20 min</w:t>
            </w:r>
          </w:p>
        </w:tc>
        <w:tc>
          <w:tcPr>
            <w:tcW w:w="2500" w:type="dxa"/>
          </w:tcPr>
          <w:p>
            <w:pPr>
              <w:spacing w:before="40" w:after="40"/>
            </w:pPr>
            <w:r>
              <w:rPr>
                <w:sz w:val="18"/>
                <w:color w:val="4a5568"/>
              </w:rPr>
              <w:t xml:space="preserve">30-45 sec</w:t>
            </w:r>
          </w:p>
        </w:tc>
        <w:tc>
          <w:tcPr>
            <w:tcW w:w="2500" w:type="dxa"/>
          </w:tcPr>
          <w:p>
            <w:pPr>
              <w:spacing w:before="40" w:after="40"/>
            </w:pPr>
            <w:r>
              <w:rPr>
                <w:sz w:val="18"/>
                <w:color w:val="4a5568"/>
              </w:rPr>
              <w:t xml:space="preserve">95% reduction</w:t>
            </w:r>
          </w:p>
        </w:tc>
      </w:tr>
      <w:tr>
        <w:tc>
          <w:tcPr>
            <w:tcW w:w="2500" w:type="dxa"/>
          </w:tcPr>
          <w:p>
            <w:pPr>
              <w:spacing w:before="40" w:after="40"/>
            </w:pPr>
            <w:r>
              <w:rPr>
                <w:sz w:val="18"/>
                <w:color w:val="4a5568"/>
              </w:rPr>
              <w:t xml:space="preserve">Weekly staff hours consumed</w:t>
            </w:r>
          </w:p>
        </w:tc>
        <w:tc>
          <w:tcPr>
            <w:tcW w:w="2500" w:type="dxa"/>
          </w:tcPr>
          <w:p>
            <w:pPr>
              <w:spacing w:before="40" w:after="40"/>
            </w:pPr>
            <w:r>
              <w:rPr>
                <w:sz w:val="18"/>
                <w:color w:val="4a5568"/>
              </w:rPr>
              <w:t xml:space="preserve">24+ hours</w:t>
            </w:r>
          </w:p>
        </w:tc>
        <w:tc>
          <w:tcPr>
            <w:tcW w:w="2500" w:type="dxa"/>
          </w:tcPr>
          <w:p>
            <w:pPr>
              <w:spacing w:before="40" w:after="40"/>
            </w:pPr>
            <w:r>
              <w:rPr>
                <w:sz w:val="18"/>
                <w:color w:val="4a5568"/>
              </w:rPr>
              <w:t xml:space="preserve">&lt;2 hours (review)</w:t>
            </w:r>
          </w:p>
        </w:tc>
        <w:tc>
          <w:tcPr>
            <w:tcW w:w="2500" w:type="dxa"/>
          </w:tcPr>
          <w:p>
            <w:pPr>
              <w:spacing w:before="40" w:after="40"/>
            </w:pPr>
            <w:r>
              <w:rPr>
                <w:sz w:val="18"/>
                <w:color w:val="4a5568"/>
              </w:rPr>
              <w:t xml:space="preserve">92% reduction</w:t>
            </w:r>
          </w:p>
        </w:tc>
      </w:tr>
      <w:tr>
        <w:tc>
          <w:tcPr>
            <w:tcW w:w="2500" w:type="dxa"/>
          </w:tcPr>
          <w:p>
            <w:pPr>
              <w:spacing w:before="40" w:after="40"/>
            </w:pPr>
            <w:r>
              <w:rPr>
                <w:sz w:val="18"/>
                <w:color w:val="4a5568"/>
              </w:rPr>
              <w:t xml:space="preserve">Classification accuracy</w:t>
            </w:r>
          </w:p>
        </w:tc>
        <w:tc>
          <w:tcPr>
            <w:tcW w:w="2500" w:type="dxa"/>
          </w:tcPr>
          <w:p>
            <w:pPr>
              <w:spacing w:before="40" w:after="40"/>
            </w:pPr>
            <w:r>
              <w:rPr>
                <w:sz w:val="18"/>
                <w:color w:val="4a5568"/>
              </w:rPr>
              <w:t xml:space="preserve">~88%</w:t>
            </w:r>
          </w:p>
        </w:tc>
        <w:tc>
          <w:tcPr>
            <w:tcW w:w="2500" w:type="dxa"/>
          </w:tcPr>
          <w:p>
            <w:pPr>
              <w:spacing w:before="40" w:after="40"/>
            </w:pPr>
            <w:r>
              <w:rPr>
                <w:sz w:val="18"/>
                <w:color w:val="4a5568"/>
              </w:rPr>
              <w:t xml:space="preserve">97%+</w:t>
            </w:r>
          </w:p>
        </w:tc>
        <w:tc>
          <w:tcPr>
            <w:tcW w:w="2500" w:type="dxa"/>
          </w:tcPr>
          <w:p>
            <w:pPr>
              <w:spacing w:before="40" w:after="40"/>
            </w:pPr>
            <w:r>
              <w:rPr>
                <w:sz w:val="18"/>
                <w:color w:val="4a5568"/>
              </w:rPr>
              <w:t xml:space="preserve">+9pp</w:t>
            </w:r>
          </w:p>
        </w:tc>
      </w:tr>
      <w:tr>
        <w:tc>
          <w:tcPr>
            <w:tcW w:w="2500" w:type="dxa"/>
          </w:tcPr>
          <w:p>
            <w:pPr>
              <w:spacing w:before="40" w:after="40"/>
            </w:pPr>
            <w:r>
              <w:rPr>
                <w:sz w:val="18"/>
                <w:color w:val="4a5568"/>
              </w:rPr>
              <w:t xml:space="preserve">Misroute escalation rate</w:t>
            </w:r>
          </w:p>
        </w:tc>
        <w:tc>
          <w:tcPr>
            <w:tcW w:w="2500" w:type="dxa"/>
          </w:tcPr>
          <w:p>
            <w:pPr>
              <w:spacing w:before="40" w:after="40"/>
            </w:pPr>
            <w:r>
              <w:rPr>
                <w:sz w:val="18"/>
                <w:color w:val="4a5568"/>
              </w:rPr>
              <w:t xml:space="preserve">~12%</w:t>
            </w:r>
          </w:p>
        </w:tc>
        <w:tc>
          <w:tcPr>
            <w:tcW w:w="2500" w:type="dxa"/>
          </w:tcPr>
          <w:p>
            <w:pPr>
              <w:spacing w:before="40" w:after="40"/>
            </w:pPr>
            <w:r>
              <w:rPr>
                <w:sz w:val="18"/>
                <w:color w:val="4a5568"/>
              </w:rPr>
              <w:t xml:space="preserve">&lt;3%</w:t>
            </w:r>
          </w:p>
        </w:tc>
        <w:tc>
          <w:tcPr>
            <w:tcW w:w="2500" w:type="dxa"/>
          </w:tcPr>
          <w:p>
            <w:pPr>
              <w:spacing w:before="40" w:after="40"/>
            </w:pPr>
            <w:r>
              <w:rPr>
                <w:sz w:val="18"/>
                <w:color w:val="4a5568"/>
              </w:rPr>
              <w:t xml:space="preserve">-9pp</w:t>
            </w:r>
          </w:p>
        </w:tc>
      </w:tr>
      <w:tr>
        <w:tc>
          <w:tcPr>
            <w:tcW w:w="2500" w:type="dxa"/>
          </w:tcPr>
          <w:p>
            <w:pPr>
              <w:spacing w:before="40" w:after="40"/>
            </w:pPr>
            <w:r>
              <w:rPr>
                <w:sz w:val="18"/>
                <w:color w:val="4a5568"/>
              </w:rPr>
              <w:t xml:space="preserve">Response time</w:t>
            </w:r>
          </w:p>
        </w:tc>
        <w:tc>
          <w:tcPr>
            <w:tcW w:w="2500" w:type="dxa"/>
          </w:tcPr>
          <w:p>
            <w:pPr>
              <w:spacing w:before="40" w:after="40"/>
            </w:pPr>
            <w:r>
              <w:rPr>
                <w:sz w:val="18"/>
                <w:color w:val="4a5568"/>
              </w:rPr>
              <w:t xml:space="preserve">24-48 hours</w:t>
            </w:r>
          </w:p>
        </w:tc>
        <w:tc>
          <w:tcPr>
            <w:tcW w:w="2500" w:type="dxa"/>
          </w:tcPr>
          <w:p>
            <w:pPr>
              <w:spacing w:before="40" w:after="40"/>
            </w:pPr>
            <w:r>
              <w:rPr>
                <w:sz w:val="18"/>
                <w:color w:val="4a5568"/>
              </w:rPr>
              <w:t xml:space="preserve">&lt;4 hours</w:t>
            </w:r>
          </w:p>
        </w:tc>
        <w:tc>
          <w:tcPr>
            <w:tcW w:w="2500" w:type="dxa"/>
          </w:tcPr>
          <w:p>
            <w:pPr>
              <w:spacing w:before="40" w:after="40"/>
            </w:pPr>
            <w:r>
              <w:rPr>
                <w:sz w:val="18"/>
                <w:color w:val="4a5568"/>
              </w:rPr>
              <w:t xml:space="preserve">90% faster</w:t>
            </w:r>
          </w:p>
        </w:tc>
      </w:tr>
    </w:tbl>
    <w:p>
      <w:pPr>
        <w:pStyle w:val="Heading1"/>
      </w:pPr>
      <w:r>
        <w:t>6. Business Implications</w:t>
      </w:r>
    </w:p>
    <w:p>
      <w:r>
        <w:t>The system freed senior staff for higher-value analytical work, reduced audit friction with external auditors, improved response consistency across departments, and created a scalable process that accommodates volume growth without proportional cost increase.</w:t>
      </w:r>
    </w:p>
    <w:p>
      <w:pPr>
        <w:pStyle w:val="Heading1"/>
      </w:pPr>
      <w:r>
        <w:t>7. Transferability</w:t>
      </w:r>
    </w:p>
    <w:p>
      <w:r>
        <w:t>This architecture applies to any high-volume document classification and routing scenario: support ticket triage, compliance document processing, legal intake routing, customer request classification, and internal control workflows.</w:t>
      </w:r>
    </w:p>
    <w:p>
      <w:pPr>
        <w:pStyle w:val="Heading1"/>
      </w:pPr>
      <w:r>
        <w:t>About the Author</w:t>
      </w:r>
    </w:p>
    <w:p>
      <w:r>
        <w:t>Santiago Garces Chavarria is an analytical operator specializing in market research, competitive intelligence, pricing logic, regulated-market analysis, and AI-enabled workflow execution. Based in Medellin, Colombia. Working worldwide. santiago.garces.blevine@gmail.com</w:t>
      </w:r>
    </w:p>
    <w:sectPr>
      <w:headerReference xmlns:r="http://schemas.openxmlformats.org/officeDocument/2006/relationships" w:type="default" r:id="Rca6528b387954580"/>
      <w:footerReference xmlns:r="http://schemas.openxmlformats.org/officeDocument/2006/relationships" w:type="default" r:id="R1828f9daae0c42c0"/>
      <w:pgSz w:w="11906" w:h="16838"/>
      <w:pgMar w:top="1800" w:right="1440" w:bottom="1440" w:left="1440" w:header="720" w:footer="720"/>
    </w:sectPr>
  </w:body>
</w:document>
</file>

<file path=word/footer1.xml><?xml version="1.0" encoding="utf-8"?>
<w:ftr xmlns:w="http://schemas.openxmlformats.org/wordprocessingml/2006/main">
  <w:p>
    <w:pPr>
      <w:jc w:val="center"/>
    </w:pPr>
    <w:r>
      <w:rPr>
        <w:sz w:val="16"/>
        <w:color w:val="718096"/>
      </w:rPr>
      <w:fldChar w:fldCharType="begin"/>
    </w:r>
    <w:r>
      <w:rPr>
        <w:sz w:val="16"/>
        <w:color w:val="718096"/>
      </w:rPr>
      <w:instrText xml:space="preserve"> PAGE </w:instrText>
    </w:r>
    <w:r>
      <w:rPr>
        <w:sz w:val="16"/>
        <w:color w:val="718096"/>
      </w:rPr>
      <w:fldChar w:fldCharType="separate"/>
    </w:r>
    <w:r>
      <w:rPr>
        <w:sz w:val="16"/>
        <w:color w:val="718096"/>
      </w:rPr>
      <w:t>1</w:t>
    </w:r>
    <w:r>
      <w:rPr>
        <w:sz w:val="16"/>
        <w:color w:val="718096"/>
      </w:rPr>
      <w:fldChar w:fldCharType="end"/>
    </w:r>
  </w:p>
</w:ftr>
</file>

<file path=word/header1.xml><?xml version="1.0" encoding="utf-8"?>
<w:hdr xmlns:w="http://schemas.openxmlformats.org/wordprocessingml/2006/main">
  <w:p>
    <w:pPr>
      <w:jc w:val="right"/>
    </w:pPr>
    <w:r>
      <w:rPr>
        <w:sz w:val="16"/>
        <w:color w:val="718096"/>
      </w:rPr>
      <w:t>Santiago Garces  |  Portfolio</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sz w:val="22"/>
      <w:color w:val="1a202c"/>
    </w:rPr>
  </w:style>
  <w:style w:type="paragraph" w:styleId="Heading1">
    <w:name w:val="heading 1"/>
    <w:basedOn w:val="Normal"/>
    <w:pPr>
      <w:keepNext/>
      <w:keepLines/>
      <w:spacing w:before="480" w:after="200"/>
      <w:outlineLvl w:val="0"/>
    </w:pPr>
    <w:rPr>
      <w:b/>
      <w:sz w:val="36"/>
      <w:rFonts w:ascii="Calibri" w:hAnsi="Calibri"/>
      <w:color w:val="1a2332"/>
    </w:rPr>
  </w:style>
  <w:style w:type="paragraph" w:styleId="Heading2">
    <w:name w:val="heading 2"/>
    <w:basedOn w:val="Normal"/>
    <w:pPr>
      <w:keepNext/>
      <w:keepLines/>
      <w:spacing w:before="360" w:after="160"/>
      <w:outlineLvl w:val="1"/>
    </w:pPr>
    <w:rPr>
      <w:b/>
      <w:sz w:val="28"/>
      <w:rFonts w:ascii="Calibri" w:hAnsi="Calibri"/>
      <w:color w:val="1a202c"/>
    </w:rPr>
  </w:style>
  <w:style w:type="paragraph" w:styleId="Heading3">
    <w:name w:val="heading 3"/>
    <w:basedOn w:val="Normal"/>
    <w:pPr>
      <w:keepNext/>
      <w:keepLines/>
      <w:spacing w:before="240" w:after="120"/>
      <w:outlineLvl w:val="2"/>
    </w:pPr>
    <w:rPr>
      <w:b/>
      <w:sz w:val="24"/>
      <w:rFonts w:ascii="Calibri" w:hAnsi="Calibri"/>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2b600731a5ea401b" /><Relationship Type="http://schemas.openxmlformats.org/officeDocument/2006/relationships/numbering" Target="/word/numbering.xml" Id="R39c467f0553d43bd" /><Relationship Type="http://schemas.openxmlformats.org/officeDocument/2006/relationships/header" Target="/word/header1.xml" Id="Rca6528b387954580" /><Relationship Type="http://schemas.openxmlformats.org/officeDocument/2006/relationships/footer" Target="/word/footer1.xml" Id="R1828f9daae0c42c0" /><Relationship Type="http://schemas.openxmlformats.org/officeDocument/2006/relationships/settings" Target="/word/settings.xml" Id="R279a171dbd5b4511" /></Relationships>
</file>