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Avenir Next" w:hAnsi="Avenir Next"/>
          <w:b/>
          <w:color w:val="2C5282"/>
          <w:sz w:val="19"/>
        </w:rPr>
        <w:t>COMMERCIAL INTELLIGENCE | MARKET STRUCTURE | COMPETITIVE BENCHMARKING</w:t>
      </w:r>
    </w:p>
    <w:p>
      <w:pPr>
        <w:spacing w:after="80"/>
        <w:jc w:val="left"/>
      </w:pPr>
      <w:r>
        <w:rPr>
          <w:rFonts w:ascii="Avenir Next" w:hAnsi="Avenir Next"/>
          <w:b/>
          <w:color w:val="1A2332"/>
          <w:sz w:val="48"/>
        </w:rPr>
        <w:t>Commercial Intelligence Case: AI Productivity Tools, Competitive Structure, and Strategic White Space</w:t>
      </w:r>
    </w:p>
    <w:p>
      <w:pPr>
        <w:spacing w:after="80"/>
        <w:jc w:val="left"/>
      </w:pPr>
      <w:r>
        <w:rPr>
          <w:rFonts w:ascii="Avenir Next" w:hAnsi="Avenir Next"/>
          <w:b/>
          <w:color w:val="3182CE"/>
          <w:sz w:val="24"/>
        </w:rPr>
        <w:t>Flagship Case 02 | Commercial Intelligence</w:t>
      </w:r>
    </w:p>
    <w:p>
      <w:pPr>
        <w:spacing w:after="160"/>
        <w:jc w:val="left"/>
      </w:pPr>
      <w:r>
        <w:rPr>
          <w:rFonts w:ascii="Avenir Next" w:hAnsi="Avenir Next"/>
          <w:b w:val="0"/>
          <w:color w:val="4A5568"/>
          <w:sz w:val="19"/>
        </w:rPr>
        <w:t>Santiago Garces Chavarria | santiago.garces.blevine@gmail.com | Medellin, Colombia</w:t>
      </w:r>
    </w:p>
    <w:tbl>
      <w:tblPr>
        <w:tblW w:type="auto" w:w="0"/>
        <w:jc w:val="left"/>
        <w:tblLayout w:type="autofit"/>
        <w:tblLook w:firstColumn="1" w:firstRow="1" w:lastColumn="0" w:lastRow="0" w:noHBand="0" w:noVBand="1" w:val="04A0"/>
      </w:tblPr>
      <w:tblGrid>
        <w:gridCol w:w="5083"/>
        <w:gridCol w:w="5083"/>
      </w:tblGrid>
      <w:tr>
        <w:tc>
          <w:tcPr>
            <w:tcW w:type="dxa" w:w="5083"/>
            <w:shd w:fill="2C5282"/>
            <w:vAlign w:val="center"/>
          </w:tcPr>
          <w:p>
            <w:pPr>
              <w:jc w:val="center"/>
            </w:pPr>
            <w:r/>
            <w:r>
              <w:rPr>
                <w:rFonts w:ascii="Avenir Next" w:hAnsi="Avenir Next"/>
                <w:b/>
                <w:color w:val="FFFFFF"/>
                <w:sz w:val="19"/>
              </w:rPr>
              <w:t>SELF-INITIATED DECISION SAMPLE</w:t>
            </w:r>
          </w:p>
        </w:tc>
        <w:tc>
          <w:tcPr>
            <w:tcW w:type="dxa" w:w="5083"/>
            <w:shd w:fill="F7FAFC"/>
            <w:vAlign w:val="center"/>
          </w:tcPr>
          <w:p>
            <w:pPr>
              <w:jc w:val="left"/>
            </w:pPr>
            <w:r/>
            <w:r>
              <w:rPr>
                <w:rFonts w:ascii="Avenir Next" w:hAnsi="Avenir Next"/>
                <w:b w:val="0"/>
                <w:color w:val="1A202C"/>
                <w:sz w:val="19"/>
              </w:rPr>
              <w:t>Built from public pricing, product, review, and company signals. Designed as a decision-grade market and benchmark sample.</w:t>
            </w:r>
          </w:p>
        </w:tc>
      </w:tr>
    </w:tbl>
    <w:p>
      <w:pPr>
        <w:spacing w:after="40"/>
        <w:jc w:val="left"/>
      </w:pPr>
      <w:r>
        <w:rPr>
          <w:rFonts w:ascii="Avenir Next" w:hAnsi="Avenir Next"/>
          <w:b w:val="0"/>
          <w:color w:val="1A202C"/>
          <w:sz w:val="21"/>
        </w:rPr>
      </w:r>
    </w:p>
    <w:tbl>
      <w:tblPr>
        <w:tblW w:type="auto" w:w="0"/>
        <w:jc w:val="left"/>
        <w:tblLayout w:type="autofit"/>
        <w:tblLook w:firstColumn="1" w:firstRow="1" w:lastColumn="0" w:lastRow="0" w:noHBand="0" w:noVBand="1" w:val="04A0"/>
      </w:tblPr>
      <w:tblGrid>
        <w:gridCol w:w="5083"/>
        <w:gridCol w:w="5083"/>
      </w:tblGrid>
      <w:tr>
        <w:tc>
          <w:tcPr>
            <w:tcW w:type="dxa" w:w="5083"/>
            <w:shd w:fill="F7FAFC"/>
          </w:tcPr>
          <w:p>
            <w:pPr>
              <w:jc w:val="left"/>
            </w:pPr>
            <w:r/>
            <w:r>
              <w:rPr>
                <w:rFonts w:ascii="Avenir Next" w:hAnsi="Avenir Next"/>
                <w:b/>
                <w:color w:val="1A2332"/>
                <w:sz w:val="30"/>
              </w:rPr>
              <w:t>12</w:t>
            </w:r>
          </w:p>
          <w:p>
            <w:pPr>
              <w:spacing w:before="40"/>
            </w:pPr>
            <w:r>
              <w:rPr>
                <w:rFonts w:ascii="Avenir Next" w:hAnsi="Avenir Next"/>
                <w:color w:val="4A5568"/>
                <w:sz w:val="18"/>
              </w:rPr>
              <w:t>players in category universe</w:t>
            </w:r>
          </w:p>
        </w:tc>
        <w:tc>
          <w:tcPr>
            <w:tcW w:type="dxa" w:w="5083"/>
            <w:shd w:fill="F7FAFC"/>
          </w:tcPr>
          <w:p>
            <w:pPr>
              <w:jc w:val="left"/>
            </w:pPr>
            <w:r/>
            <w:r>
              <w:rPr>
                <w:rFonts w:ascii="Avenir Next" w:hAnsi="Avenir Next"/>
                <w:b/>
                <w:color w:val="1A2332"/>
                <w:sz w:val="30"/>
              </w:rPr>
              <w:t>6</w:t>
            </w:r>
          </w:p>
          <w:p>
            <w:pPr>
              <w:spacing w:before="40"/>
            </w:pPr>
            <w:r>
              <w:rPr>
                <w:rFonts w:ascii="Avenir Next" w:hAnsi="Avenir Next"/>
                <w:color w:val="4A5568"/>
                <w:sz w:val="18"/>
              </w:rPr>
              <w:t>players benchmarked directly</w:t>
            </w:r>
          </w:p>
        </w:tc>
      </w:tr>
      <w:tr>
        <w:tc>
          <w:tcPr>
            <w:tcW w:type="dxa" w:w="5083"/>
            <w:shd w:fill="F7FAFC"/>
          </w:tcPr>
          <w:p>
            <w:pPr>
              <w:jc w:val="left"/>
            </w:pPr>
            <w:r/>
            <w:r>
              <w:rPr>
                <w:rFonts w:ascii="Avenir Next" w:hAnsi="Avenir Next"/>
                <w:b/>
                <w:color w:val="1A2332"/>
                <w:sz w:val="30"/>
              </w:rPr>
              <w:t>3</w:t>
            </w:r>
          </w:p>
          <w:p>
            <w:pPr>
              <w:spacing w:before="40"/>
            </w:pPr>
            <w:r>
              <w:rPr>
                <w:rFonts w:ascii="Avenir Next" w:hAnsi="Avenir Next"/>
                <w:color w:val="4A5568"/>
                <w:sz w:val="18"/>
              </w:rPr>
              <w:t>commercial archetypes</w:t>
            </w:r>
          </w:p>
        </w:tc>
        <w:tc>
          <w:tcPr>
            <w:tcW w:type="dxa" w:w="5083"/>
            <w:shd w:fill="F7FAFC"/>
          </w:tcPr>
          <w:p>
            <w:pPr>
              <w:jc w:val="left"/>
            </w:pPr>
            <w:r/>
            <w:r>
              <w:rPr>
                <w:rFonts w:ascii="Avenir Next" w:hAnsi="Avenir Next"/>
                <w:b/>
                <w:color w:val="1A2332"/>
                <w:sz w:val="30"/>
              </w:rPr>
              <w:t>3</w:t>
            </w:r>
          </w:p>
          <w:p>
            <w:pPr>
              <w:spacing w:before="40"/>
            </w:pPr>
            <w:r>
              <w:rPr>
                <w:rFonts w:ascii="Avenir Next" w:hAnsi="Avenir Next"/>
                <w:color w:val="4A5568"/>
                <w:sz w:val="18"/>
              </w:rPr>
              <w:t>candidate wedges screened</w:t>
            </w:r>
          </w:p>
        </w:tc>
      </w:tr>
    </w:tbl>
    <w:p>
      <w:pPr>
        <w:spacing w:after="40"/>
        <w:jc w:val="left"/>
      </w:pPr>
      <w:r>
        <w:rPr>
          <w:rFonts w:ascii="Avenir Next" w:hAnsi="Avenir Next"/>
          <w:b w:val="0"/>
          <w:color w:val="1A202C"/>
          <w:sz w:val="21"/>
        </w:rPr>
      </w:r>
    </w:p>
    <w:p>
      <w:pPr>
        <w:pStyle w:val="Heading1"/>
        <w:spacing w:before="200" w:after="80"/>
      </w:pPr>
      <w:r>
        <w:t>Executive Summary</w:t>
      </w:r>
    </w:p>
    <w:p>
      <w:pPr>
        <w:spacing w:after="160"/>
        <w:jc w:val="left"/>
      </w:pPr>
      <w:r>
        <w:rPr>
          <w:rFonts w:ascii="Avenir Next" w:hAnsi="Avenir Next"/>
          <w:b w:val="0"/>
          <w:color w:val="1A202C"/>
          <w:sz w:val="21"/>
        </w:rPr>
        <w:t>This case merges market research and competitive benchmarking into one commercial-intelligence asset. The category examined is AI productivity software. The analysis identifies three market archetypes, maps how value is captured across price bands, benchmarks the most relevant players against buyer-facing decision dimensions, and screens three candidate entry wedges. The main conclusion is that broad horizontal entry is weak. The strongest opportunities sit in compliance-first workflow products, emerging-market price localization, and premium tools for high-income solo operators.</w:t>
      </w:r>
    </w:p>
    <w:p>
      <w:pPr>
        <w:sectPr>
          <w:footerReference w:type="default" r:id="rId9"/>
          <w:pgSz w:w="12240" w:h="15840"/>
          <w:pgMar w:top="1080" w:right="1037" w:bottom="936" w:left="1037" w:header="720" w:footer="720" w:gutter="0"/>
          <w:cols w:space="720"/>
          <w:docGrid w:linePitch="360"/>
        </w:sectPr>
      </w:pPr>
    </w:p>
    <w:p>
      <w:pPr>
        <w:pStyle w:val="Heading1"/>
        <w:spacing w:before="200" w:after="80"/>
      </w:pPr>
      <w:r>
        <w:t>Business Question</w:t>
      </w:r>
    </w:p>
    <w:p>
      <w:pPr>
        <w:spacing w:after="120"/>
        <w:jc w:val="left"/>
      </w:pPr>
      <w:r>
        <w:rPr>
          <w:rFonts w:ascii="Avenir Next" w:hAnsi="Avenir Next"/>
          <w:b w:val="0"/>
          <w:color w:val="1A202C"/>
          <w:sz w:val="21"/>
        </w:rPr>
        <w:t>What does the AI productivity market look like once pricing, buyer logic, and competitor trade-offs are normalized into one analytical frame?</w:t>
      </w:r>
    </w:p>
    <w:p>
      <w:pPr>
        <w:spacing w:after="120"/>
        <w:jc w:val="left"/>
      </w:pPr>
      <w:r>
        <w:rPr>
          <w:rFonts w:ascii="Avenir Next" w:hAnsi="Avenir Next"/>
          <w:b w:val="0"/>
          <w:color w:val="1A202C"/>
          <w:sz w:val="21"/>
        </w:rPr>
        <w:t>This is not a feature inventory. It is a decision-support case designed to answer where an entrant can still compete without being crushed by platform bundling.</w:t>
      </w:r>
    </w:p>
    <w:p>
      <w:pPr>
        <w:pStyle w:val="Heading1"/>
        <w:spacing w:before="200" w:after="80"/>
      </w:pPr>
      <w:r>
        <w:t>Category Definition and Scope</w:t>
      </w:r>
    </w:p>
    <w:p>
      <w:pPr>
        <w:spacing w:after="120"/>
        <w:jc w:val="left"/>
      </w:pPr>
      <w:r>
        <w:rPr>
          <w:rFonts w:ascii="Avenir Next" w:hAnsi="Avenir Next"/>
          <w:b w:val="0"/>
          <w:color w:val="1A202C"/>
          <w:sz w:val="21"/>
        </w:rPr>
        <w:t>The category universe contains twelve players across three commercial archetypes. Six were benchmarked directly for comparative scoring because they cover the most decision-relevant span of the category.</w:t>
      </w:r>
    </w:p>
    <w:p>
      <w:pPr>
        <w:spacing w:after="0"/>
        <w:jc w:val="left"/>
      </w:pPr>
      <w:r>
        <w:rPr>
          <w:rFonts w:ascii="Avenir Next" w:hAnsi="Avenir Next"/>
          <w:b w:val="0"/>
          <w:color w:val="1A202C"/>
          <w:sz w:val="21"/>
        </w:rPr>
      </w:r>
    </w:p>
    <w:p>
      <w:pPr>
        <w:spacing w:after="40"/>
        <w:jc w:val="left"/>
      </w:pPr>
      <w:r>
        <w:rPr>
          <w:rFonts w:ascii="Avenir Next" w:hAnsi="Avenir Next"/>
          <w:b/>
          <w:color w:val="4A5568"/>
          <w:sz w:val="18"/>
        </w:rPr>
        <w:t>Universe and benchmark scope</w:t>
      </w:r>
    </w:p>
    <w:tbl>
      <w:tblPr>
        <w:tblW w:type="auto" w:w="0"/>
        <w:jc w:val="left"/>
        <w:tblLayout w:type="autofit"/>
        <w:tblLook w:firstColumn="1" w:firstRow="1" w:lastColumn="0" w:lastRow="0" w:noHBand="0" w:noVBand="1" w:val="04A0"/>
      </w:tblPr>
      <w:tblGrid>
        <w:gridCol w:w="3389"/>
        <w:gridCol w:w="3389"/>
        <w:gridCol w:w="3389"/>
      </w:tblGrid>
      <w:tr>
        <w:tc>
          <w:tcPr>
            <w:tcW w:type="dxa" w:w="3389"/>
            <w:shd w:fill="1A2332"/>
            <w:vAlign w:val="center"/>
          </w:tcPr>
          <w:p>
            <w:pPr>
              <w:jc w:val="center"/>
            </w:pPr>
            <w:r/>
            <w:r>
              <w:rPr>
                <w:rFonts w:ascii="Avenir Next" w:hAnsi="Avenir Next"/>
                <w:b/>
                <w:color w:val="FFFFFF"/>
                <w:sz w:val="19"/>
              </w:rPr>
              <w:t>Universe layer</w:t>
            </w:r>
          </w:p>
        </w:tc>
        <w:tc>
          <w:tcPr>
            <w:tcW w:type="dxa" w:w="3389"/>
            <w:shd w:fill="1A2332"/>
            <w:vAlign w:val="center"/>
          </w:tcPr>
          <w:p>
            <w:pPr>
              <w:jc w:val="center"/>
            </w:pPr>
            <w:r/>
            <w:r>
              <w:rPr>
                <w:rFonts w:ascii="Avenir Next" w:hAnsi="Avenir Next"/>
                <w:b/>
                <w:color w:val="FFFFFF"/>
                <w:sz w:val="19"/>
              </w:rPr>
              <w:t>Illustrative players</w:t>
            </w:r>
          </w:p>
        </w:tc>
        <w:tc>
          <w:tcPr>
            <w:tcW w:type="dxa" w:w="3389"/>
            <w:shd w:fill="1A2332"/>
            <w:vAlign w:val="center"/>
          </w:tcPr>
          <w:p>
            <w:pPr>
              <w:jc w:val="center"/>
            </w:pPr>
            <w:r/>
            <w:r>
              <w:rPr>
                <w:rFonts w:ascii="Avenir Next" w:hAnsi="Avenir Next"/>
                <w:b/>
                <w:color w:val="FFFFFF"/>
                <w:sz w:val="19"/>
              </w:rPr>
              <w:t>Why it matters</w:t>
            </w:r>
          </w:p>
        </w:tc>
      </w:tr>
      <w:tr>
        <w:tc>
          <w:tcPr>
            <w:tcW w:type="dxa" w:w="3389"/>
            <w:shd w:fill="F7FAFC"/>
            <w:vAlign w:val="center"/>
          </w:tcPr>
          <w:p>
            <w:pPr>
              <w:jc w:val="left"/>
            </w:pPr>
            <w:r/>
            <w:r>
              <w:rPr>
                <w:rFonts w:ascii="Avenir Next" w:hAnsi="Avenir Next"/>
                <w:b w:val="0"/>
                <w:color w:val="1A202C"/>
                <w:sz w:val="18"/>
              </w:rPr>
              <w:t>Platform incumbents</w:t>
            </w:r>
          </w:p>
        </w:tc>
        <w:tc>
          <w:tcPr>
            <w:tcW w:type="dxa" w:w="3389"/>
            <w:shd w:fill="F7FAFC"/>
            <w:vAlign w:val="center"/>
          </w:tcPr>
          <w:p>
            <w:pPr>
              <w:jc w:val="left"/>
            </w:pPr>
            <w:r/>
            <w:r>
              <w:rPr>
                <w:rFonts w:ascii="Avenir Next" w:hAnsi="Avenir Next"/>
                <w:b w:val="0"/>
                <w:color w:val="1A202C"/>
                <w:sz w:val="18"/>
              </w:rPr>
              <w:t>Notion AI, Microsoft Copilot, Google AI layers</w:t>
            </w:r>
          </w:p>
        </w:tc>
        <w:tc>
          <w:tcPr>
            <w:tcW w:type="dxa" w:w="3389"/>
            <w:shd w:fill="F7FAFC"/>
            <w:vAlign w:val="center"/>
          </w:tcPr>
          <w:p>
            <w:pPr>
              <w:jc w:val="left"/>
            </w:pPr>
            <w:r/>
            <w:r>
              <w:rPr>
                <w:rFonts w:ascii="Avenir Next" w:hAnsi="Avenir Next"/>
                <w:b w:val="0"/>
                <w:color w:val="1A202C"/>
                <w:sz w:val="18"/>
              </w:rPr>
              <w:t>Set the bundle-driven baseline</w:t>
            </w:r>
          </w:p>
        </w:tc>
      </w:tr>
      <w:tr>
        <w:tc>
          <w:tcPr>
            <w:tcW w:type="dxa" w:w="3389"/>
            <w:vAlign w:val="center"/>
          </w:tcPr>
          <w:p>
            <w:pPr>
              <w:jc w:val="left"/>
            </w:pPr>
            <w:r/>
            <w:r>
              <w:rPr>
                <w:rFonts w:ascii="Avenir Next" w:hAnsi="Avenir Next"/>
                <w:b w:val="0"/>
                <w:color w:val="1A202C"/>
                <w:sz w:val="18"/>
              </w:rPr>
              <w:t>Focused challengers</w:t>
            </w:r>
          </w:p>
        </w:tc>
        <w:tc>
          <w:tcPr>
            <w:tcW w:type="dxa" w:w="3389"/>
            <w:vAlign w:val="center"/>
          </w:tcPr>
          <w:p>
            <w:pPr>
              <w:jc w:val="left"/>
            </w:pPr>
            <w:r/>
            <w:r>
              <w:rPr>
                <w:rFonts w:ascii="Avenir Next" w:hAnsi="Avenir Next"/>
                <w:b w:val="0"/>
                <w:color w:val="1A202C"/>
                <w:sz w:val="18"/>
              </w:rPr>
              <w:t>Claude for Work, Jasper, Copy.ai</w:t>
            </w:r>
          </w:p>
        </w:tc>
        <w:tc>
          <w:tcPr>
            <w:tcW w:type="dxa" w:w="3389"/>
            <w:vAlign w:val="center"/>
          </w:tcPr>
          <w:p>
            <w:pPr>
              <w:jc w:val="left"/>
            </w:pPr>
            <w:r/>
            <w:r>
              <w:rPr>
                <w:rFonts w:ascii="Avenir Next" w:hAnsi="Avenir Next"/>
                <w:b w:val="0"/>
                <w:color w:val="1A202C"/>
                <w:sz w:val="18"/>
              </w:rPr>
              <w:t>Compete on workflow value and output quality</w:t>
            </w:r>
          </w:p>
        </w:tc>
      </w:tr>
      <w:tr>
        <w:tc>
          <w:tcPr>
            <w:tcW w:type="dxa" w:w="3389"/>
            <w:shd w:fill="F7FAFC"/>
            <w:vAlign w:val="center"/>
          </w:tcPr>
          <w:p>
            <w:pPr>
              <w:jc w:val="left"/>
            </w:pPr>
            <w:r/>
            <w:r>
              <w:rPr>
                <w:rFonts w:ascii="Avenir Next" w:hAnsi="Avenir Next"/>
                <w:b w:val="0"/>
                <w:color w:val="1A202C"/>
                <w:sz w:val="18"/>
              </w:rPr>
              <w:t>Workflow specialists</w:t>
            </w:r>
          </w:p>
        </w:tc>
        <w:tc>
          <w:tcPr>
            <w:tcW w:type="dxa" w:w="3389"/>
            <w:shd w:fill="F7FAFC"/>
            <w:vAlign w:val="center"/>
          </w:tcPr>
          <w:p>
            <w:pPr>
              <w:jc w:val="left"/>
            </w:pPr>
            <w:r/>
            <w:r>
              <w:rPr>
                <w:rFonts w:ascii="Avenir Next" w:hAnsi="Avenir Next"/>
                <w:b w:val="0"/>
                <w:color w:val="1A202C"/>
                <w:sz w:val="18"/>
              </w:rPr>
              <w:t>Grammarly, Otter.ai, Fireflies</w:t>
            </w:r>
          </w:p>
        </w:tc>
        <w:tc>
          <w:tcPr>
            <w:tcW w:type="dxa" w:w="3389"/>
            <w:shd w:fill="F7FAFC"/>
            <w:vAlign w:val="center"/>
          </w:tcPr>
          <w:p>
            <w:pPr>
              <w:jc w:val="left"/>
            </w:pPr>
            <w:r/>
            <w:r>
              <w:rPr>
                <w:rFonts w:ascii="Avenir Next" w:hAnsi="Avenir Next"/>
                <w:b w:val="0"/>
                <w:color w:val="1A202C"/>
                <w:sz w:val="18"/>
              </w:rPr>
              <w:t>Show the economics of narrow depth</w:t>
            </w:r>
          </w:p>
        </w:tc>
      </w:tr>
    </w:tbl>
    <w:p>
      <w:pPr>
        <w:spacing w:after="40"/>
        <w:jc w:val="left"/>
      </w:pPr>
      <w:r>
        <w:rPr>
          <w:rFonts w:ascii="Avenir Next" w:hAnsi="Avenir Next"/>
          <w:b w:val="0"/>
          <w:color w:val="1A202C"/>
          <w:sz w:val="21"/>
        </w:rPr>
      </w:r>
    </w:p>
    <w:p>
      <w:pPr>
        <w:pStyle w:val="Heading1"/>
        <w:spacing w:before="200" w:after="80"/>
      </w:pPr>
      <w:r>
        <w:t>Methodology</w:t>
      </w:r>
    </w:p>
    <w:p>
      <w:pPr>
        <w:spacing w:after="120"/>
        <w:jc w:val="left"/>
      </w:pPr>
      <w:r>
        <w:rPr>
          <w:rFonts w:ascii="Avenir Next" w:hAnsi="Avenir Next"/>
          <w:b w:val="0"/>
          <w:color w:val="1A202C"/>
          <w:sz w:val="21"/>
        </w:rPr>
        <w:t>The case combines four evidence types: pricing pages, product documentation, customer-review signals, and company-context signals such as positioning and enterprise posture. The purpose is not exhaustive diligence. It is structured market judgment from public evidence.</w:t>
      </w:r>
    </w:p>
    <w:p>
      <w:pPr>
        <w:pStyle w:val="ListBullet"/>
        <w:spacing w:after="40"/>
      </w:pPr>
      <w:r>
        <w:rPr>
          <w:rFonts w:ascii="Avenir Next" w:hAnsi="Avenir Next"/>
          <w:color w:val="1A202C"/>
          <w:sz w:val="20"/>
        </w:rPr>
        <w:t>Pricing bands and packaging signals from public pricing pages</w:t>
      </w:r>
    </w:p>
    <w:p>
      <w:pPr>
        <w:pStyle w:val="ListBullet"/>
        <w:spacing w:after="40"/>
      </w:pPr>
      <w:r>
        <w:rPr>
          <w:rFonts w:ascii="Avenir Next" w:hAnsi="Avenir Next"/>
          <w:color w:val="1A202C"/>
          <w:sz w:val="20"/>
        </w:rPr>
        <w:t>Workflow, collaboration, and governance claims from product documentation</w:t>
      </w:r>
    </w:p>
    <w:p>
      <w:pPr>
        <w:pStyle w:val="ListBullet"/>
        <w:spacing w:after="40"/>
      </w:pPr>
      <w:r>
        <w:rPr>
          <w:rFonts w:ascii="Avenir Next" w:hAnsi="Avenir Next"/>
          <w:color w:val="1A202C"/>
          <w:sz w:val="20"/>
        </w:rPr>
        <w:t>Value-signal patterns from review-platform commentary</w:t>
      </w:r>
    </w:p>
    <w:p>
      <w:pPr>
        <w:pStyle w:val="ListBullet"/>
        <w:spacing w:after="40"/>
      </w:pPr>
      <w:r>
        <w:rPr>
          <w:rFonts w:ascii="Avenir Next" w:hAnsi="Avenir Next"/>
          <w:color w:val="1A202C"/>
          <w:sz w:val="20"/>
        </w:rPr>
        <w:t>Positioning and enterprise-readiness signals from public company materials</w:t>
      </w:r>
    </w:p>
    <w:p>
      <w:pPr>
        <w:pStyle w:val="Heading1"/>
        <w:spacing w:before="200" w:after="80"/>
      </w:pPr>
      <w:r>
        <w:t>How the Category Captures Value</w:t>
      </w:r>
    </w:p>
    <w:p>
      <w:pPr>
        <w:spacing w:after="120"/>
        <w:jc w:val="left"/>
      </w:pPr>
      <w:r>
        <w:rPr>
          <w:rFonts w:ascii="Avenir Next" w:hAnsi="Avenir Next"/>
          <w:b w:val="0"/>
          <w:color w:val="1A202C"/>
          <w:sz w:val="21"/>
        </w:rPr>
        <w:t>The category does not monetize one thing. It monetizes different combinations of convenience, output quality, workflow depth, collaboration, and governance. That is why pricing bands and product claims need to be read together.</w:t>
      </w:r>
    </w:p>
    <w:p>
      <w:pPr>
        <w:spacing w:after="0"/>
        <w:jc w:val="left"/>
      </w:pPr>
      <w:r>
        <w:rPr>
          <w:rFonts w:ascii="Avenir Next" w:hAnsi="Avenir Next"/>
          <w:b w:val="0"/>
          <w:color w:val="1A202C"/>
          <w:sz w:val="21"/>
        </w:rPr>
      </w:r>
    </w:p>
    <w:p>
      <w:pPr>
        <w:spacing w:after="40"/>
        <w:jc w:val="left"/>
      </w:pPr>
      <w:r>
        <w:rPr>
          <w:rFonts w:ascii="Avenir Next" w:hAnsi="Avenir Next"/>
          <w:b/>
          <w:color w:val="4A5568"/>
          <w:sz w:val="18"/>
        </w:rPr>
        <w:t>Commercial archetypes and price logic</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1A2332"/>
            <w:vAlign w:val="center"/>
          </w:tcPr>
          <w:p>
            <w:pPr>
              <w:jc w:val="center"/>
            </w:pPr>
            <w:r/>
            <w:r>
              <w:rPr>
                <w:rFonts w:ascii="Avenir Next" w:hAnsi="Avenir Next"/>
                <w:b/>
                <w:color w:val="FFFFFF"/>
                <w:sz w:val="19"/>
              </w:rPr>
              <w:t>Archetype</w:t>
            </w:r>
          </w:p>
        </w:tc>
        <w:tc>
          <w:tcPr>
            <w:tcW w:type="dxa" w:w="2541"/>
            <w:shd w:fill="1A2332"/>
            <w:vAlign w:val="center"/>
          </w:tcPr>
          <w:p>
            <w:pPr>
              <w:jc w:val="center"/>
            </w:pPr>
            <w:r/>
            <w:r>
              <w:rPr>
                <w:rFonts w:ascii="Avenir Next" w:hAnsi="Avenir Next"/>
                <w:b/>
                <w:color w:val="FFFFFF"/>
                <w:sz w:val="19"/>
              </w:rPr>
              <w:t>Typical price band</w:t>
            </w:r>
          </w:p>
        </w:tc>
        <w:tc>
          <w:tcPr>
            <w:tcW w:type="dxa" w:w="2541"/>
            <w:shd w:fill="1A2332"/>
            <w:vAlign w:val="center"/>
          </w:tcPr>
          <w:p>
            <w:pPr>
              <w:jc w:val="center"/>
            </w:pPr>
            <w:r/>
            <w:r>
              <w:rPr>
                <w:rFonts w:ascii="Avenir Next" w:hAnsi="Avenir Next"/>
                <w:b/>
                <w:color w:val="FFFFFF"/>
                <w:sz w:val="19"/>
              </w:rPr>
              <w:t>Value-capture logic</w:t>
            </w:r>
          </w:p>
        </w:tc>
        <w:tc>
          <w:tcPr>
            <w:tcW w:type="dxa" w:w="2541"/>
            <w:shd w:fill="1A2332"/>
            <w:vAlign w:val="center"/>
          </w:tcPr>
          <w:p>
            <w:pPr>
              <w:jc w:val="center"/>
            </w:pPr>
            <w:r/>
            <w:r>
              <w:rPr>
                <w:rFonts w:ascii="Avenir Next" w:hAnsi="Avenir Next"/>
                <w:b/>
                <w:color w:val="FFFFFF"/>
                <w:sz w:val="19"/>
              </w:rPr>
              <w:t>Main weakness</w:t>
            </w:r>
          </w:p>
        </w:tc>
      </w:tr>
      <w:tr>
        <w:tc>
          <w:tcPr>
            <w:tcW w:type="dxa" w:w="2541"/>
            <w:shd w:fill="F7FAFC"/>
            <w:vAlign w:val="center"/>
          </w:tcPr>
          <w:p>
            <w:pPr>
              <w:jc w:val="left"/>
            </w:pPr>
            <w:r/>
            <w:r>
              <w:rPr>
                <w:rFonts w:ascii="Avenir Next" w:hAnsi="Avenir Next"/>
                <w:b w:val="0"/>
                <w:color w:val="1A202C"/>
                <w:sz w:val="18"/>
              </w:rPr>
              <w:t>Platform incumbent</w:t>
            </w:r>
          </w:p>
        </w:tc>
        <w:tc>
          <w:tcPr>
            <w:tcW w:type="dxa" w:w="2541"/>
            <w:shd w:fill="F7FAFC"/>
            <w:vAlign w:val="center"/>
          </w:tcPr>
          <w:p>
            <w:pPr>
              <w:jc w:val="left"/>
            </w:pPr>
            <w:r/>
            <w:r>
              <w:rPr>
                <w:rFonts w:ascii="Avenir Next" w:hAnsi="Avenir Next"/>
                <w:b w:val="0"/>
                <w:color w:val="1A202C"/>
                <w:sz w:val="18"/>
              </w:rPr>
              <w:t>$10-30/user/mo</w:t>
            </w:r>
          </w:p>
        </w:tc>
        <w:tc>
          <w:tcPr>
            <w:tcW w:type="dxa" w:w="2541"/>
            <w:shd w:fill="F7FAFC"/>
            <w:vAlign w:val="center"/>
          </w:tcPr>
          <w:p>
            <w:pPr>
              <w:jc w:val="left"/>
            </w:pPr>
            <w:r/>
            <w:r>
              <w:rPr>
                <w:rFonts w:ascii="Avenir Next" w:hAnsi="Avenir Next"/>
                <w:b w:val="0"/>
                <w:color w:val="1A202C"/>
                <w:sz w:val="18"/>
              </w:rPr>
              <w:t>Bundle AI into a broader suite</w:t>
            </w:r>
          </w:p>
        </w:tc>
        <w:tc>
          <w:tcPr>
            <w:tcW w:type="dxa" w:w="2541"/>
            <w:shd w:fill="F7FAFC"/>
            <w:vAlign w:val="center"/>
          </w:tcPr>
          <w:p>
            <w:pPr>
              <w:jc w:val="left"/>
            </w:pPr>
            <w:r/>
            <w:r>
              <w:rPr>
                <w:rFonts w:ascii="Avenir Next" w:hAnsi="Avenir Next"/>
                <w:b w:val="0"/>
                <w:color w:val="1A202C"/>
                <w:sz w:val="18"/>
              </w:rPr>
              <w:t>Weak on narrow workflow precision</w:t>
            </w:r>
          </w:p>
        </w:tc>
      </w:tr>
      <w:tr>
        <w:tc>
          <w:tcPr>
            <w:tcW w:type="dxa" w:w="2541"/>
            <w:vAlign w:val="center"/>
          </w:tcPr>
          <w:p>
            <w:pPr>
              <w:jc w:val="left"/>
            </w:pPr>
            <w:r/>
            <w:r>
              <w:rPr>
                <w:rFonts w:ascii="Avenir Next" w:hAnsi="Avenir Next"/>
                <w:b w:val="0"/>
                <w:color w:val="1A202C"/>
                <w:sz w:val="18"/>
              </w:rPr>
              <w:t>Focused challenger</w:t>
            </w:r>
          </w:p>
        </w:tc>
        <w:tc>
          <w:tcPr>
            <w:tcW w:type="dxa" w:w="2541"/>
            <w:vAlign w:val="center"/>
          </w:tcPr>
          <w:p>
            <w:pPr>
              <w:jc w:val="left"/>
            </w:pPr>
            <w:r/>
            <w:r>
              <w:rPr>
                <w:rFonts w:ascii="Avenir Next" w:hAnsi="Avenir Next"/>
                <w:b w:val="0"/>
                <w:color w:val="1A202C"/>
                <w:sz w:val="18"/>
              </w:rPr>
              <w:t>$30-100/user/mo</w:t>
            </w:r>
          </w:p>
        </w:tc>
        <w:tc>
          <w:tcPr>
            <w:tcW w:type="dxa" w:w="2541"/>
            <w:vAlign w:val="center"/>
          </w:tcPr>
          <w:p>
            <w:pPr>
              <w:jc w:val="left"/>
            </w:pPr>
            <w:r/>
            <w:r>
              <w:rPr>
                <w:rFonts w:ascii="Avenir Next" w:hAnsi="Avenir Next"/>
                <w:b w:val="0"/>
                <w:color w:val="1A202C"/>
                <w:sz w:val="18"/>
              </w:rPr>
              <w:t>Sell quality and AI-native workflow value</w:t>
            </w:r>
          </w:p>
        </w:tc>
        <w:tc>
          <w:tcPr>
            <w:tcW w:type="dxa" w:w="2541"/>
            <w:vAlign w:val="center"/>
          </w:tcPr>
          <w:p>
            <w:pPr>
              <w:jc w:val="left"/>
            </w:pPr>
            <w:r/>
            <w:r>
              <w:rPr>
                <w:rFonts w:ascii="Avenir Next" w:hAnsi="Avenir Next"/>
                <w:b w:val="0"/>
                <w:color w:val="1A202C"/>
                <w:sz w:val="18"/>
              </w:rPr>
              <w:t>Harder to justify a new budget line</w:t>
            </w:r>
          </w:p>
        </w:tc>
      </w:tr>
      <w:tr>
        <w:tc>
          <w:tcPr>
            <w:tcW w:type="dxa" w:w="2541"/>
            <w:shd w:fill="F7FAFC"/>
            <w:vAlign w:val="center"/>
          </w:tcPr>
          <w:p>
            <w:pPr>
              <w:jc w:val="left"/>
            </w:pPr>
            <w:r/>
            <w:r>
              <w:rPr>
                <w:rFonts w:ascii="Avenir Next" w:hAnsi="Avenir Next"/>
                <w:b w:val="0"/>
                <w:color w:val="1A202C"/>
                <w:sz w:val="18"/>
              </w:rPr>
              <w:t>Workflow specialist</w:t>
            </w:r>
          </w:p>
        </w:tc>
        <w:tc>
          <w:tcPr>
            <w:tcW w:type="dxa" w:w="2541"/>
            <w:shd w:fill="F7FAFC"/>
            <w:vAlign w:val="center"/>
          </w:tcPr>
          <w:p>
            <w:pPr>
              <w:jc w:val="left"/>
            </w:pPr>
            <w:r/>
            <w:r>
              <w:rPr>
                <w:rFonts w:ascii="Avenir Next" w:hAnsi="Avenir Next"/>
                <w:b w:val="0"/>
                <w:color w:val="1A202C"/>
                <w:sz w:val="18"/>
              </w:rPr>
              <w:t>$8-40/user/mo</w:t>
            </w:r>
          </w:p>
        </w:tc>
        <w:tc>
          <w:tcPr>
            <w:tcW w:type="dxa" w:w="2541"/>
            <w:shd w:fill="F7FAFC"/>
            <w:vAlign w:val="center"/>
          </w:tcPr>
          <w:p>
            <w:pPr>
              <w:jc w:val="left"/>
            </w:pPr>
            <w:r/>
            <w:r>
              <w:rPr>
                <w:rFonts w:ascii="Avenir Next" w:hAnsi="Avenir Next"/>
                <w:b w:val="0"/>
                <w:color w:val="1A202C"/>
                <w:sz w:val="18"/>
              </w:rPr>
              <w:t>Win through use-case depth and habit</w:t>
            </w:r>
          </w:p>
        </w:tc>
        <w:tc>
          <w:tcPr>
            <w:tcW w:type="dxa" w:w="2541"/>
            <w:shd w:fill="F7FAFC"/>
            <w:vAlign w:val="center"/>
          </w:tcPr>
          <w:p>
            <w:pPr>
              <w:jc w:val="left"/>
            </w:pPr>
            <w:r/>
            <w:r>
              <w:rPr>
                <w:rFonts w:ascii="Avenir Next" w:hAnsi="Avenir Next"/>
                <w:b w:val="0"/>
                <w:color w:val="1A202C"/>
                <w:sz w:val="18"/>
              </w:rPr>
              <w:t>Narrower expansion ceiling</w:t>
            </w:r>
          </w:p>
        </w:tc>
      </w:tr>
    </w:tbl>
    <w:p>
      <w:pPr>
        <w:spacing w:after="40"/>
        <w:jc w:val="left"/>
      </w:pPr>
      <w:r>
        <w:rPr>
          <w:rFonts w:ascii="Avenir Next" w:hAnsi="Avenir Next"/>
          <w:b w:val="0"/>
          <w:color w:val="1A202C"/>
          <w:sz w:val="21"/>
        </w:rPr>
      </w:r>
    </w:p>
    <w:p>
      <w:pPr>
        <w:pStyle w:val="Heading1"/>
        <w:spacing w:before="200" w:after="80"/>
      </w:pPr>
      <w:r>
        <w:t>Competitive Clusters</w:t>
      </w:r>
    </w:p>
    <w:p>
      <w:pPr>
        <w:spacing w:after="120"/>
        <w:jc w:val="left"/>
      </w:pPr>
      <w:r>
        <w:rPr>
          <w:rFonts w:ascii="Avenir Next" w:hAnsi="Avenir Next"/>
          <w:b w:val="0"/>
          <w:color w:val="1A202C"/>
          <w:sz w:val="21"/>
        </w:rPr>
        <w:t>Each cluster is over-built for one buyer problem and under-built for another. That is why a clean cluster view is more useful than a flat top-ten list.</w:t>
      </w:r>
    </w:p>
    <w:p>
      <w:pPr>
        <w:spacing w:after="0"/>
        <w:jc w:val="left"/>
      </w:pPr>
      <w:r>
        <w:rPr>
          <w:rFonts w:ascii="Avenir Next" w:hAnsi="Avenir Next"/>
          <w:b w:val="0"/>
          <w:color w:val="1A202C"/>
          <w:sz w:val="21"/>
        </w:rPr>
      </w:r>
    </w:p>
    <w:p>
      <w:pPr>
        <w:spacing w:after="40"/>
        <w:jc w:val="left"/>
      </w:pPr>
      <w:r>
        <w:rPr>
          <w:rFonts w:ascii="Avenir Next" w:hAnsi="Avenir Next"/>
          <w:b/>
          <w:color w:val="4A5568"/>
          <w:sz w:val="18"/>
        </w:rPr>
        <w:t>Where each cluster is strong and weak</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1A2332"/>
            <w:vAlign w:val="center"/>
          </w:tcPr>
          <w:p>
            <w:pPr>
              <w:jc w:val="center"/>
            </w:pPr>
            <w:r/>
            <w:r>
              <w:rPr>
                <w:rFonts w:ascii="Avenir Next" w:hAnsi="Avenir Next"/>
                <w:b/>
                <w:color w:val="FFFFFF"/>
                <w:sz w:val="19"/>
              </w:rPr>
              <w:t>Cluster</w:t>
            </w:r>
          </w:p>
        </w:tc>
        <w:tc>
          <w:tcPr>
            <w:tcW w:type="dxa" w:w="2541"/>
            <w:shd w:fill="1A2332"/>
            <w:vAlign w:val="center"/>
          </w:tcPr>
          <w:p>
            <w:pPr>
              <w:jc w:val="center"/>
            </w:pPr>
            <w:r/>
            <w:r>
              <w:rPr>
                <w:rFonts w:ascii="Avenir Next" w:hAnsi="Avenir Next"/>
                <w:b/>
                <w:color w:val="FFFFFF"/>
                <w:sz w:val="19"/>
              </w:rPr>
              <w:t>Over-built for</w:t>
            </w:r>
          </w:p>
        </w:tc>
        <w:tc>
          <w:tcPr>
            <w:tcW w:type="dxa" w:w="2541"/>
            <w:shd w:fill="1A2332"/>
            <w:vAlign w:val="center"/>
          </w:tcPr>
          <w:p>
            <w:pPr>
              <w:jc w:val="center"/>
            </w:pPr>
            <w:r/>
            <w:r>
              <w:rPr>
                <w:rFonts w:ascii="Avenir Next" w:hAnsi="Avenir Next"/>
                <w:b/>
                <w:color w:val="FFFFFF"/>
                <w:sz w:val="19"/>
              </w:rPr>
              <w:t>Under-built for</w:t>
            </w:r>
          </w:p>
        </w:tc>
        <w:tc>
          <w:tcPr>
            <w:tcW w:type="dxa" w:w="2541"/>
            <w:shd w:fill="1A2332"/>
            <w:vAlign w:val="center"/>
          </w:tcPr>
          <w:p>
            <w:pPr>
              <w:jc w:val="center"/>
            </w:pPr>
            <w:r/>
            <w:r>
              <w:rPr>
                <w:rFonts w:ascii="Avenir Next" w:hAnsi="Avenir Next"/>
                <w:b/>
                <w:color w:val="FFFFFF"/>
                <w:sz w:val="19"/>
              </w:rPr>
              <w:t>Strategic implication</w:t>
            </w:r>
          </w:p>
        </w:tc>
      </w:tr>
      <w:tr>
        <w:tc>
          <w:tcPr>
            <w:tcW w:type="dxa" w:w="2541"/>
            <w:shd w:fill="F7FAFC"/>
            <w:vAlign w:val="center"/>
          </w:tcPr>
          <w:p>
            <w:pPr>
              <w:jc w:val="left"/>
            </w:pPr>
            <w:r/>
            <w:r>
              <w:rPr>
                <w:rFonts w:ascii="Avenir Next" w:hAnsi="Avenir Next"/>
                <w:b w:val="0"/>
                <w:color w:val="1A202C"/>
                <w:sz w:val="18"/>
              </w:rPr>
              <w:t>Platform incumbents</w:t>
            </w:r>
          </w:p>
        </w:tc>
        <w:tc>
          <w:tcPr>
            <w:tcW w:type="dxa" w:w="2541"/>
            <w:shd w:fill="F7FAFC"/>
            <w:vAlign w:val="center"/>
          </w:tcPr>
          <w:p>
            <w:pPr>
              <w:jc w:val="left"/>
            </w:pPr>
            <w:r/>
            <w:r>
              <w:rPr>
                <w:rFonts w:ascii="Avenir Next" w:hAnsi="Avenir Next"/>
                <w:b w:val="0"/>
                <w:color w:val="1A202C"/>
                <w:sz w:val="18"/>
              </w:rPr>
              <w:t>Breadth, convenience, suite bundling</w:t>
            </w:r>
          </w:p>
        </w:tc>
        <w:tc>
          <w:tcPr>
            <w:tcW w:type="dxa" w:w="2541"/>
            <w:shd w:fill="F7FAFC"/>
            <w:vAlign w:val="center"/>
          </w:tcPr>
          <w:p>
            <w:pPr>
              <w:jc w:val="left"/>
            </w:pPr>
            <w:r/>
            <w:r>
              <w:rPr>
                <w:rFonts w:ascii="Avenir Next" w:hAnsi="Avenir Next"/>
                <w:b w:val="0"/>
                <w:color w:val="1A202C"/>
                <w:sz w:val="18"/>
              </w:rPr>
              <w:t>Workflow-specific precision</w:t>
            </w:r>
          </w:p>
        </w:tc>
        <w:tc>
          <w:tcPr>
            <w:tcW w:type="dxa" w:w="2541"/>
            <w:shd w:fill="F7FAFC"/>
            <w:vAlign w:val="center"/>
          </w:tcPr>
          <w:p>
            <w:pPr>
              <w:jc w:val="left"/>
            </w:pPr>
            <w:r/>
            <w:r>
              <w:rPr>
                <w:rFonts w:ascii="Avenir Next" w:hAnsi="Avenir Next"/>
                <w:b w:val="0"/>
                <w:color w:val="1A202C"/>
                <w:sz w:val="18"/>
              </w:rPr>
              <w:t>Hard to displace broadly, easier to attack in narrow control-heavy use cases</w:t>
            </w:r>
          </w:p>
        </w:tc>
      </w:tr>
      <w:tr>
        <w:tc>
          <w:tcPr>
            <w:tcW w:type="dxa" w:w="2541"/>
            <w:vAlign w:val="center"/>
          </w:tcPr>
          <w:p>
            <w:pPr>
              <w:jc w:val="left"/>
            </w:pPr>
            <w:r/>
            <w:r>
              <w:rPr>
                <w:rFonts w:ascii="Avenir Next" w:hAnsi="Avenir Next"/>
                <w:b w:val="0"/>
                <w:color w:val="1A202C"/>
                <w:sz w:val="18"/>
              </w:rPr>
              <w:t>Focused challengers</w:t>
            </w:r>
          </w:p>
        </w:tc>
        <w:tc>
          <w:tcPr>
            <w:tcW w:type="dxa" w:w="2541"/>
            <w:vAlign w:val="center"/>
          </w:tcPr>
          <w:p>
            <w:pPr>
              <w:jc w:val="left"/>
            </w:pPr>
            <w:r/>
            <w:r>
              <w:rPr>
                <w:rFonts w:ascii="Avenir Next" w:hAnsi="Avenir Next"/>
                <w:b w:val="0"/>
                <w:color w:val="1A202C"/>
                <w:sz w:val="18"/>
              </w:rPr>
              <w:t>Output quality and AI-native experience</w:t>
            </w:r>
          </w:p>
        </w:tc>
        <w:tc>
          <w:tcPr>
            <w:tcW w:type="dxa" w:w="2541"/>
            <w:vAlign w:val="center"/>
          </w:tcPr>
          <w:p>
            <w:pPr>
              <w:jc w:val="left"/>
            </w:pPr>
            <w:r/>
            <w:r>
              <w:rPr>
                <w:rFonts w:ascii="Avenir Next" w:hAnsi="Avenir Next"/>
                <w:b w:val="0"/>
                <w:color w:val="1A202C"/>
                <w:sz w:val="18"/>
              </w:rPr>
              <w:t>Budget-line defensibility</w:t>
            </w:r>
          </w:p>
        </w:tc>
        <w:tc>
          <w:tcPr>
            <w:tcW w:type="dxa" w:w="2541"/>
            <w:vAlign w:val="center"/>
          </w:tcPr>
          <w:p>
            <w:pPr>
              <w:jc w:val="left"/>
            </w:pPr>
            <w:r/>
            <w:r>
              <w:rPr>
                <w:rFonts w:ascii="Avenir Next" w:hAnsi="Avenir Next"/>
                <w:b w:val="0"/>
                <w:color w:val="1A202C"/>
                <w:sz w:val="18"/>
              </w:rPr>
              <w:t>Need a sharper wedge to avoid horizontal comparison</w:t>
            </w:r>
          </w:p>
        </w:tc>
      </w:tr>
      <w:tr>
        <w:tc>
          <w:tcPr>
            <w:tcW w:type="dxa" w:w="2541"/>
            <w:shd w:fill="F7FAFC"/>
            <w:vAlign w:val="center"/>
          </w:tcPr>
          <w:p>
            <w:pPr>
              <w:jc w:val="left"/>
            </w:pPr>
            <w:r/>
            <w:r>
              <w:rPr>
                <w:rFonts w:ascii="Avenir Next" w:hAnsi="Avenir Next"/>
                <w:b w:val="0"/>
                <w:color w:val="1A202C"/>
                <w:sz w:val="18"/>
              </w:rPr>
              <w:t>Workflow specialists</w:t>
            </w:r>
          </w:p>
        </w:tc>
        <w:tc>
          <w:tcPr>
            <w:tcW w:type="dxa" w:w="2541"/>
            <w:shd w:fill="F7FAFC"/>
            <w:vAlign w:val="center"/>
          </w:tcPr>
          <w:p>
            <w:pPr>
              <w:jc w:val="left"/>
            </w:pPr>
            <w:r/>
            <w:r>
              <w:rPr>
                <w:rFonts w:ascii="Avenir Next" w:hAnsi="Avenir Next"/>
                <w:b w:val="0"/>
                <w:color w:val="1A202C"/>
                <w:sz w:val="18"/>
              </w:rPr>
              <w:t>Habit and narrow task depth</w:t>
            </w:r>
          </w:p>
        </w:tc>
        <w:tc>
          <w:tcPr>
            <w:tcW w:type="dxa" w:w="2541"/>
            <w:shd w:fill="F7FAFC"/>
            <w:vAlign w:val="center"/>
          </w:tcPr>
          <w:p>
            <w:pPr>
              <w:jc w:val="left"/>
            </w:pPr>
            <w:r/>
            <w:r>
              <w:rPr>
                <w:rFonts w:ascii="Avenir Next" w:hAnsi="Avenir Next"/>
                <w:b w:val="0"/>
                <w:color w:val="1A202C"/>
                <w:sz w:val="18"/>
              </w:rPr>
              <w:t>Cross-workflow expansion</w:t>
            </w:r>
          </w:p>
        </w:tc>
        <w:tc>
          <w:tcPr>
            <w:tcW w:type="dxa" w:w="2541"/>
            <w:shd w:fill="F7FAFC"/>
            <w:vAlign w:val="center"/>
          </w:tcPr>
          <w:p>
            <w:pPr>
              <w:jc w:val="left"/>
            </w:pPr>
            <w:r/>
            <w:r>
              <w:rPr>
                <w:rFonts w:ascii="Avenir Next" w:hAnsi="Avenir Next"/>
                <w:b w:val="0"/>
                <w:color w:val="1A202C"/>
                <w:sz w:val="18"/>
              </w:rPr>
              <w:t>Can win fast in one use case but struggle to own broader spend</w:t>
            </w:r>
          </w:p>
        </w:tc>
      </w:tr>
    </w:tbl>
    <w:p>
      <w:pPr>
        <w:spacing w:after="40"/>
        <w:jc w:val="left"/>
      </w:pPr>
      <w:r>
        <w:rPr>
          <w:rFonts w:ascii="Avenir Next" w:hAnsi="Avenir Next"/>
          <w:b w:val="0"/>
          <w:color w:val="1A202C"/>
          <w:sz w:val="21"/>
        </w:rPr>
      </w:r>
    </w:p>
    <w:p>
      <w:pPr>
        <w:pStyle w:val="Heading1"/>
        <w:spacing w:before="200" w:after="80"/>
      </w:pPr>
      <w:r>
        <w:t>Buyer Logic</w:t>
      </w:r>
    </w:p>
    <w:p>
      <w:pPr>
        <w:spacing w:after="120"/>
        <w:jc w:val="left"/>
      </w:pPr>
      <w:r>
        <w:rPr>
          <w:rFonts w:ascii="Avenir Next" w:hAnsi="Avenir Next"/>
          <w:b w:val="0"/>
          <w:color w:val="1A202C"/>
          <w:sz w:val="21"/>
        </w:rPr>
        <w:t>Different buyers pay for different outcomes. That is why a general market map is not enough. A useful competitive view has to show where willingness to pay changes.</w:t>
      </w:r>
    </w:p>
    <w:p>
      <w:pPr>
        <w:spacing w:after="0"/>
        <w:jc w:val="left"/>
      </w:pPr>
      <w:r>
        <w:rPr>
          <w:rFonts w:ascii="Avenir Next" w:hAnsi="Avenir Next"/>
          <w:b w:val="0"/>
          <w:color w:val="1A202C"/>
          <w:sz w:val="21"/>
        </w:rPr>
      </w:r>
    </w:p>
    <w:p>
      <w:pPr>
        <w:spacing w:after="40"/>
        <w:jc w:val="left"/>
      </w:pPr>
      <w:r>
        <w:rPr>
          <w:rFonts w:ascii="Avenir Next" w:hAnsi="Avenir Next"/>
          <w:b/>
          <w:color w:val="4A5568"/>
          <w:sz w:val="18"/>
        </w:rPr>
        <w:t>Buyer segments and willingness-to-pay logic</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1A2332"/>
            <w:vAlign w:val="center"/>
          </w:tcPr>
          <w:p>
            <w:pPr>
              <w:jc w:val="center"/>
            </w:pPr>
            <w:r/>
            <w:r>
              <w:rPr>
                <w:rFonts w:ascii="Avenir Next" w:hAnsi="Avenir Next"/>
                <w:b/>
                <w:color w:val="FFFFFF"/>
                <w:sz w:val="19"/>
              </w:rPr>
              <w:t>Buyer type</w:t>
            </w:r>
          </w:p>
        </w:tc>
        <w:tc>
          <w:tcPr>
            <w:tcW w:type="dxa" w:w="2541"/>
            <w:shd w:fill="1A2332"/>
            <w:vAlign w:val="center"/>
          </w:tcPr>
          <w:p>
            <w:pPr>
              <w:jc w:val="center"/>
            </w:pPr>
            <w:r/>
            <w:r>
              <w:rPr>
                <w:rFonts w:ascii="Avenir Next" w:hAnsi="Avenir Next"/>
                <w:b/>
                <w:color w:val="FFFFFF"/>
                <w:sz w:val="19"/>
              </w:rPr>
              <w:t>What they pay for</w:t>
            </w:r>
          </w:p>
        </w:tc>
        <w:tc>
          <w:tcPr>
            <w:tcW w:type="dxa" w:w="2541"/>
            <w:shd w:fill="1A2332"/>
            <w:vAlign w:val="center"/>
          </w:tcPr>
          <w:p>
            <w:pPr>
              <w:jc w:val="center"/>
            </w:pPr>
            <w:r/>
            <w:r>
              <w:rPr>
                <w:rFonts w:ascii="Avenir Next" w:hAnsi="Avenir Next"/>
                <w:b/>
                <w:color w:val="FFFFFF"/>
                <w:sz w:val="19"/>
              </w:rPr>
              <w:t>Price sensitivity</w:t>
            </w:r>
          </w:p>
        </w:tc>
        <w:tc>
          <w:tcPr>
            <w:tcW w:type="dxa" w:w="2541"/>
            <w:shd w:fill="1A2332"/>
            <w:vAlign w:val="center"/>
          </w:tcPr>
          <w:p>
            <w:pPr>
              <w:jc w:val="center"/>
            </w:pPr>
            <w:r/>
            <w:r>
              <w:rPr>
                <w:rFonts w:ascii="Avenir Next" w:hAnsi="Avenir Next"/>
                <w:b/>
                <w:color w:val="FFFFFF"/>
                <w:sz w:val="19"/>
              </w:rPr>
              <w:t>Commercial implication</w:t>
            </w:r>
          </w:p>
        </w:tc>
      </w:tr>
      <w:tr>
        <w:tc>
          <w:tcPr>
            <w:tcW w:type="dxa" w:w="2541"/>
            <w:shd w:fill="F7FAFC"/>
            <w:vAlign w:val="center"/>
          </w:tcPr>
          <w:p>
            <w:pPr>
              <w:jc w:val="left"/>
            </w:pPr>
            <w:r/>
            <w:r>
              <w:rPr>
                <w:rFonts w:ascii="Avenir Next" w:hAnsi="Avenir Next"/>
                <w:b w:val="0"/>
                <w:color w:val="1A202C"/>
                <w:sz w:val="18"/>
              </w:rPr>
              <w:t>Solo operators</w:t>
            </w:r>
          </w:p>
        </w:tc>
        <w:tc>
          <w:tcPr>
            <w:tcW w:type="dxa" w:w="2541"/>
            <w:shd w:fill="F7FAFC"/>
            <w:vAlign w:val="center"/>
          </w:tcPr>
          <w:p>
            <w:pPr>
              <w:jc w:val="left"/>
            </w:pPr>
            <w:r/>
            <w:r>
              <w:rPr>
                <w:rFonts w:ascii="Avenir Next" w:hAnsi="Avenir Next"/>
                <w:b w:val="0"/>
                <w:color w:val="1A202C"/>
                <w:sz w:val="18"/>
              </w:rPr>
              <w:t>Quality that saves billable time</w:t>
            </w:r>
          </w:p>
        </w:tc>
        <w:tc>
          <w:tcPr>
            <w:tcW w:type="dxa" w:w="2541"/>
            <w:shd w:fill="F7FAFC"/>
            <w:vAlign w:val="center"/>
          </w:tcPr>
          <w:p>
            <w:pPr>
              <w:jc w:val="left"/>
            </w:pPr>
            <w:r/>
            <w:r>
              <w:rPr>
                <w:rFonts w:ascii="Avenir Next" w:hAnsi="Avenir Next"/>
                <w:b w:val="0"/>
                <w:color w:val="1A202C"/>
                <w:sz w:val="18"/>
              </w:rPr>
              <w:t>High</w:t>
            </w:r>
          </w:p>
        </w:tc>
        <w:tc>
          <w:tcPr>
            <w:tcW w:type="dxa" w:w="2541"/>
            <w:shd w:fill="F7FAFC"/>
            <w:vAlign w:val="center"/>
          </w:tcPr>
          <w:p>
            <w:pPr>
              <w:jc w:val="left"/>
            </w:pPr>
            <w:r/>
            <w:r>
              <w:rPr>
                <w:rFonts w:ascii="Avenir Next" w:hAnsi="Avenir Next"/>
                <w:b w:val="0"/>
                <w:color w:val="1A202C"/>
                <w:sz w:val="18"/>
              </w:rPr>
              <w:t>Premium is possible if value is explicit</w:t>
            </w:r>
          </w:p>
        </w:tc>
      </w:tr>
      <w:tr>
        <w:tc>
          <w:tcPr>
            <w:tcW w:type="dxa" w:w="2541"/>
            <w:vAlign w:val="center"/>
          </w:tcPr>
          <w:p>
            <w:pPr>
              <w:jc w:val="left"/>
            </w:pPr>
            <w:r/>
            <w:r>
              <w:rPr>
                <w:rFonts w:ascii="Avenir Next" w:hAnsi="Avenir Next"/>
                <w:b w:val="0"/>
                <w:color w:val="1A202C"/>
                <w:sz w:val="18"/>
              </w:rPr>
              <w:t>SMB teams</w:t>
            </w:r>
          </w:p>
        </w:tc>
        <w:tc>
          <w:tcPr>
            <w:tcW w:type="dxa" w:w="2541"/>
            <w:vAlign w:val="center"/>
          </w:tcPr>
          <w:p>
            <w:pPr>
              <w:jc w:val="left"/>
            </w:pPr>
            <w:r/>
            <w:r>
              <w:rPr>
                <w:rFonts w:ascii="Avenir Next" w:hAnsi="Avenir Next"/>
                <w:b w:val="0"/>
                <w:color w:val="1A202C"/>
                <w:sz w:val="18"/>
              </w:rPr>
              <w:t>Integration and collaboration</w:t>
            </w:r>
          </w:p>
        </w:tc>
        <w:tc>
          <w:tcPr>
            <w:tcW w:type="dxa" w:w="2541"/>
            <w:vAlign w:val="center"/>
          </w:tcPr>
          <w:p>
            <w:pPr>
              <w:jc w:val="left"/>
            </w:pPr>
            <w:r/>
            <w:r>
              <w:rPr>
                <w:rFonts w:ascii="Avenir Next" w:hAnsi="Avenir Next"/>
                <w:b w:val="0"/>
                <w:color w:val="1A202C"/>
                <w:sz w:val="18"/>
              </w:rPr>
              <w:t>Moderate</w:t>
            </w:r>
          </w:p>
        </w:tc>
        <w:tc>
          <w:tcPr>
            <w:tcW w:type="dxa" w:w="2541"/>
            <w:vAlign w:val="center"/>
          </w:tcPr>
          <w:p>
            <w:pPr>
              <w:jc w:val="left"/>
            </w:pPr>
            <w:r/>
            <w:r>
              <w:rPr>
                <w:rFonts w:ascii="Avenir Next" w:hAnsi="Avenir Next"/>
                <w:b w:val="0"/>
                <w:color w:val="1A202C"/>
                <w:sz w:val="18"/>
              </w:rPr>
              <w:t>Workflow fit matters more than raw model quality</w:t>
            </w:r>
          </w:p>
        </w:tc>
      </w:tr>
      <w:tr>
        <w:tc>
          <w:tcPr>
            <w:tcW w:type="dxa" w:w="2541"/>
            <w:shd w:fill="F7FAFC"/>
            <w:vAlign w:val="center"/>
          </w:tcPr>
          <w:p>
            <w:pPr>
              <w:jc w:val="left"/>
            </w:pPr>
            <w:r/>
            <w:r>
              <w:rPr>
                <w:rFonts w:ascii="Avenir Next" w:hAnsi="Avenir Next"/>
                <w:b w:val="0"/>
                <w:color w:val="1A202C"/>
                <w:sz w:val="18"/>
              </w:rPr>
              <w:t>Enterprise buyers</w:t>
            </w:r>
          </w:p>
        </w:tc>
        <w:tc>
          <w:tcPr>
            <w:tcW w:type="dxa" w:w="2541"/>
            <w:shd w:fill="F7FAFC"/>
            <w:vAlign w:val="center"/>
          </w:tcPr>
          <w:p>
            <w:pPr>
              <w:jc w:val="left"/>
            </w:pPr>
            <w:r/>
            <w:r>
              <w:rPr>
                <w:rFonts w:ascii="Avenir Next" w:hAnsi="Avenir Next"/>
                <w:b w:val="0"/>
                <w:color w:val="1A202C"/>
                <w:sz w:val="18"/>
              </w:rPr>
              <w:t>Governance, security, admin control</w:t>
            </w:r>
          </w:p>
        </w:tc>
        <w:tc>
          <w:tcPr>
            <w:tcW w:type="dxa" w:w="2541"/>
            <w:shd w:fill="F7FAFC"/>
            <w:vAlign w:val="center"/>
          </w:tcPr>
          <w:p>
            <w:pPr>
              <w:jc w:val="left"/>
            </w:pPr>
            <w:r/>
            <w:r>
              <w:rPr>
                <w:rFonts w:ascii="Avenir Next" w:hAnsi="Avenir Next"/>
                <w:b w:val="0"/>
                <w:color w:val="1A202C"/>
                <w:sz w:val="18"/>
              </w:rPr>
              <w:t>Low</w:t>
            </w:r>
          </w:p>
        </w:tc>
        <w:tc>
          <w:tcPr>
            <w:tcW w:type="dxa" w:w="2541"/>
            <w:shd w:fill="F7FAFC"/>
            <w:vAlign w:val="center"/>
          </w:tcPr>
          <w:p>
            <w:pPr>
              <w:jc w:val="left"/>
            </w:pPr>
            <w:r/>
            <w:r>
              <w:rPr>
                <w:rFonts w:ascii="Avenir Next" w:hAnsi="Avenir Next"/>
                <w:b w:val="0"/>
                <w:color w:val="1A202C"/>
                <w:sz w:val="18"/>
              </w:rPr>
              <w:t>Compliance and control are pricing levers</w:t>
            </w:r>
          </w:p>
        </w:tc>
      </w:tr>
    </w:tbl>
    <w:p>
      <w:pPr>
        <w:spacing w:after="40"/>
        <w:jc w:val="left"/>
      </w:pPr>
      <w:r>
        <w:rPr>
          <w:rFonts w:ascii="Avenir Next" w:hAnsi="Avenir Next"/>
          <w:b w:val="0"/>
          <w:color w:val="1A202C"/>
          <w:sz w:val="21"/>
        </w:rPr>
      </w:r>
    </w:p>
    <w:p>
      <w:pPr>
        <w:pStyle w:val="Heading1"/>
        <w:spacing w:before="200" w:after="80"/>
      </w:pPr>
      <w:r>
        <w:t>Direct Benchmark</w:t>
      </w:r>
    </w:p>
    <w:p>
      <w:pPr>
        <w:spacing w:after="120"/>
        <w:jc w:val="left"/>
      </w:pPr>
      <w:r>
        <w:rPr>
          <w:rFonts w:ascii="Avenir Next" w:hAnsi="Avenir Next"/>
          <w:b w:val="0"/>
          <w:color w:val="1A202C"/>
          <w:sz w:val="21"/>
        </w:rPr>
        <w:t>The direct benchmark scores six representative players across output quality, workflow depth, collaboration maturity, and governance readiness. The point of the scorecard is not false precision. It is to make the trade-offs visible.</w:t>
      </w:r>
    </w:p>
    <w:p>
      <w:pPr>
        <w:spacing w:after="0"/>
        <w:jc w:val="left"/>
      </w:pPr>
      <w:r>
        <w:rPr>
          <w:rFonts w:ascii="Avenir Next" w:hAnsi="Avenir Next"/>
          <w:b w:val="0"/>
          <w:color w:val="1A202C"/>
          <w:sz w:val="21"/>
        </w:rPr>
      </w:r>
    </w:p>
    <w:p>
      <w:pPr>
        <w:spacing w:after="40"/>
        <w:jc w:val="left"/>
      </w:pPr>
      <w:r>
        <w:rPr>
          <w:rFonts w:ascii="Avenir Next" w:hAnsi="Avenir Next"/>
          <w:b/>
          <w:color w:val="4A5568"/>
          <w:sz w:val="18"/>
        </w:rPr>
        <w:t>Direct benchmark scorecard (1 = weak, 5 = strong)</w:t>
      </w:r>
    </w:p>
    <w:tbl>
      <w:tblPr>
        <w:tblW w:type="auto" w:w="0"/>
        <w:jc w:val="left"/>
        <w:tblLayout w:type="autofit"/>
        <w:tblLook w:firstColumn="1" w:firstRow="1" w:lastColumn="0" w:lastRow="0" w:noHBand="0" w:noVBand="1" w:val="04A0"/>
      </w:tblPr>
      <w:tblGrid>
        <w:gridCol w:w="2033"/>
        <w:gridCol w:w="2033"/>
        <w:gridCol w:w="2033"/>
        <w:gridCol w:w="2033"/>
        <w:gridCol w:w="2033"/>
      </w:tblGrid>
      <w:tr>
        <w:tc>
          <w:tcPr>
            <w:tcW w:type="dxa" w:w="2033"/>
            <w:shd w:fill="1A2332"/>
            <w:vAlign w:val="center"/>
          </w:tcPr>
          <w:p>
            <w:pPr>
              <w:jc w:val="center"/>
            </w:pPr>
            <w:r/>
            <w:r>
              <w:rPr>
                <w:rFonts w:ascii="Avenir Next" w:hAnsi="Avenir Next"/>
                <w:b/>
                <w:color w:val="FFFFFF"/>
                <w:sz w:val="19"/>
              </w:rPr>
              <w:t>Player</w:t>
            </w:r>
          </w:p>
        </w:tc>
        <w:tc>
          <w:tcPr>
            <w:tcW w:type="dxa" w:w="2033"/>
            <w:shd w:fill="1A2332"/>
            <w:vAlign w:val="center"/>
          </w:tcPr>
          <w:p>
            <w:pPr>
              <w:jc w:val="center"/>
            </w:pPr>
            <w:r/>
            <w:r>
              <w:rPr>
                <w:rFonts w:ascii="Avenir Next" w:hAnsi="Avenir Next"/>
                <w:b/>
                <w:color w:val="FFFFFF"/>
                <w:sz w:val="19"/>
              </w:rPr>
              <w:t>Output quality</w:t>
            </w:r>
          </w:p>
        </w:tc>
        <w:tc>
          <w:tcPr>
            <w:tcW w:type="dxa" w:w="2033"/>
            <w:shd w:fill="1A2332"/>
            <w:vAlign w:val="center"/>
          </w:tcPr>
          <w:p>
            <w:pPr>
              <w:jc w:val="center"/>
            </w:pPr>
            <w:r/>
            <w:r>
              <w:rPr>
                <w:rFonts w:ascii="Avenir Next" w:hAnsi="Avenir Next"/>
                <w:b/>
                <w:color w:val="FFFFFF"/>
                <w:sz w:val="19"/>
              </w:rPr>
              <w:t>Workflow depth</w:t>
            </w:r>
          </w:p>
        </w:tc>
        <w:tc>
          <w:tcPr>
            <w:tcW w:type="dxa" w:w="2033"/>
            <w:shd w:fill="1A2332"/>
            <w:vAlign w:val="center"/>
          </w:tcPr>
          <w:p>
            <w:pPr>
              <w:jc w:val="center"/>
            </w:pPr>
            <w:r/>
            <w:r>
              <w:rPr>
                <w:rFonts w:ascii="Avenir Next" w:hAnsi="Avenir Next"/>
                <w:b/>
                <w:color w:val="FFFFFF"/>
                <w:sz w:val="19"/>
              </w:rPr>
              <w:t>Collaboration</w:t>
            </w:r>
          </w:p>
        </w:tc>
        <w:tc>
          <w:tcPr>
            <w:tcW w:type="dxa" w:w="2033"/>
            <w:shd w:fill="1A2332"/>
            <w:vAlign w:val="center"/>
          </w:tcPr>
          <w:p>
            <w:pPr>
              <w:jc w:val="center"/>
            </w:pPr>
            <w:r/>
            <w:r>
              <w:rPr>
                <w:rFonts w:ascii="Avenir Next" w:hAnsi="Avenir Next"/>
                <w:b/>
                <w:color w:val="FFFFFF"/>
                <w:sz w:val="19"/>
              </w:rPr>
              <w:t>Governance</w:t>
            </w:r>
          </w:p>
        </w:tc>
      </w:tr>
      <w:tr>
        <w:tc>
          <w:tcPr>
            <w:tcW w:type="dxa" w:w="2033"/>
            <w:shd w:fill="F7FAFC"/>
            <w:vAlign w:val="center"/>
          </w:tcPr>
          <w:p>
            <w:pPr>
              <w:jc w:val="left"/>
            </w:pPr>
            <w:r/>
            <w:r>
              <w:rPr>
                <w:rFonts w:ascii="Avenir Next" w:hAnsi="Avenir Next"/>
                <w:b w:val="0"/>
                <w:color w:val="1A202C"/>
                <w:sz w:val="18"/>
              </w:rPr>
              <w:t>Notion AI</w:t>
            </w:r>
          </w:p>
        </w:tc>
        <w:tc>
          <w:tcPr>
            <w:tcW w:type="dxa" w:w="2033"/>
            <w:shd w:fill="F7FAFC"/>
            <w:vAlign w:val="center"/>
          </w:tcPr>
          <w:p>
            <w:pPr>
              <w:jc w:val="left"/>
            </w:pPr>
            <w:r/>
            <w:r>
              <w:rPr>
                <w:rFonts w:ascii="Avenir Next" w:hAnsi="Avenir Next"/>
                <w:b w:val="0"/>
                <w:color w:val="1A202C"/>
                <w:sz w:val="18"/>
              </w:rPr>
              <w:t>3</w:t>
            </w:r>
          </w:p>
        </w:tc>
        <w:tc>
          <w:tcPr>
            <w:tcW w:type="dxa" w:w="2033"/>
            <w:shd w:fill="F7FAFC"/>
            <w:vAlign w:val="center"/>
          </w:tcPr>
          <w:p>
            <w:pPr>
              <w:jc w:val="left"/>
            </w:pPr>
            <w:r/>
            <w:r>
              <w:rPr>
                <w:rFonts w:ascii="Avenir Next" w:hAnsi="Avenir Next"/>
                <w:b w:val="0"/>
                <w:color w:val="1A202C"/>
                <w:sz w:val="18"/>
              </w:rPr>
              <w:t>4</w:t>
            </w:r>
          </w:p>
        </w:tc>
        <w:tc>
          <w:tcPr>
            <w:tcW w:type="dxa" w:w="2033"/>
            <w:shd w:fill="F7FAFC"/>
            <w:vAlign w:val="center"/>
          </w:tcPr>
          <w:p>
            <w:pPr>
              <w:jc w:val="left"/>
            </w:pPr>
            <w:r/>
            <w:r>
              <w:rPr>
                <w:rFonts w:ascii="Avenir Next" w:hAnsi="Avenir Next"/>
                <w:b w:val="0"/>
                <w:color w:val="1A202C"/>
                <w:sz w:val="18"/>
              </w:rPr>
              <w:t>5</w:t>
            </w:r>
          </w:p>
        </w:tc>
        <w:tc>
          <w:tcPr>
            <w:tcW w:type="dxa" w:w="2033"/>
            <w:shd w:fill="F7FAFC"/>
            <w:vAlign w:val="center"/>
          </w:tcPr>
          <w:p>
            <w:pPr>
              <w:jc w:val="left"/>
            </w:pPr>
            <w:r/>
            <w:r>
              <w:rPr>
                <w:rFonts w:ascii="Avenir Next" w:hAnsi="Avenir Next"/>
                <w:b w:val="0"/>
                <w:color w:val="1A202C"/>
                <w:sz w:val="18"/>
              </w:rPr>
              <w:t>2</w:t>
            </w:r>
          </w:p>
        </w:tc>
      </w:tr>
      <w:tr>
        <w:tc>
          <w:tcPr>
            <w:tcW w:type="dxa" w:w="2033"/>
            <w:vAlign w:val="center"/>
          </w:tcPr>
          <w:p>
            <w:pPr>
              <w:jc w:val="left"/>
            </w:pPr>
            <w:r/>
            <w:r>
              <w:rPr>
                <w:rFonts w:ascii="Avenir Next" w:hAnsi="Avenir Next"/>
                <w:b w:val="0"/>
                <w:color w:val="1A202C"/>
                <w:sz w:val="18"/>
              </w:rPr>
              <w:t>Microsoft Copilot</w:t>
            </w:r>
          </w:p>
        </w:tc>
        <w:tc>
          <w:tcPr>
            <w:tcW w:type="dxa" w:w="2033"/>
            <w:vAlign w:val="center"/>
          </w:tcPr>
          <w:p>
            <w:pPr>
              <w:jc w:val="left"/>
            </w:pPr>
            <w:r/>
            <w:r>
              <w:rPr>
                <w:rFonts w:ascii="Avenir Next" w:hAnsi="Avenir Next"/>
                <w:b w:val="0"/>
                <w:color w:val="1A202C"/>
                <w:sz w:val="18"/>
              </w:rPr>
              <w:t>3</w:t>
            </w:r>
          </w:p>
        </w:tc>
        <w:tc>
          <w:tcPr>
            <w:tcW w:type="dxa" w:w="2033"/>
            <w:vAlign w:val="center"/>
          </w:tcPr>
          <w:p>
            <w:pPr>
              <w:jc w:val="left"/>
            </w:pPr>
            <w:r/>
            <w:r>
              <w:rPr>
                <w:rFonts w:ascii="Avenir Next" w:hAnsi="Avenir Next"/>
                <w:b w:val="0"/>
                <w:color w:val="1A202C"/>
                <w:sz w:val="18"/>
              </w:rPr>
              <w:t>3</w:t>
            </w:r>
          </w:p>
        </w:tc>
        <w:tc>
          <w:tcPr>
            <w:tcW w:type="dxa" w:w="2033"/>
            <w:vAlign w:val="center"/>
          </w:tcPr>
          <w:p>
            <w:pPr>
              <w:jc w:val="left"/>
            </w:pPr>
            <w:r/>
            <w:r>
              <w:rPr>
                <w:rFonts w:ascii="Avenir Next" w:hAnsi="Avenir Next"/>
                <w:b w:val="0"/>
                <w:color w:val="1A202C"/>
                <w:sz w:val="18"/>
              </w:rPr>
              <w:t>5</w:t>
            </w:r>
          </w:p>
        </w:tc>
        <w:tc>
          <w:tcPr>
            <w:tcW w:type="dxa" w:w="2033"/>
            <w:vAlign w:val="center"/>
          </w:tcPr>
          <w:p>
            <w:pPr>
              <w:jc w:val="left"/>
            </w:pPr>
            <w:r/>
            <w:r>
              <w:rPr>
                <w:rFonts w:ascii="Avenir Next" w:hAnsi="Avenir Next"/>
                <w:b w:val="0"/>
                <w:color w:val="1A202C"/>
                <w:sz w:val="18"/>
              </w:rPr>
              <w:t>4</w:t>
            </w:r>
          </w:p>
        </w:tc>
      </w:tr>
      <w:tr>
        <w:tc>
          <w:tcPr>
            <w:tcW w:type="dxa" w:w="2033"/>
            <w:shd w:fill="F7FAFC"/>
            <w:vAlign w:val="center"/>
          </w:tcPr>
          <w:p>
            <w:pPr>
              <w:jc w:val="left"/>
            </w:pPr>
            <w:r/>
            <w:r>
              <w:rPr>
                <w:rFonts w:ascii="Avenir Next" w:hAnsi="Avenir Next"/>
                <w:b w:val="0"/>
                <w:color w:val="1A202C"/>
                <w:sz w:val="18"/>
              </w:rPr>
              <w:t>Claude for Work</w:t>
            </w:r>
          </w:p>
        </w:tc>
        <w:tc>
          <w:tcPr>
            <w:tcW w:type="dxa" w:w="2033"/>
            <w:shd w:fill="F7FAFC"/>
            <w:vAlign w:val="center"/>
          </w:tcPr>
          <w:p>
            <w:pPr>
              <w:jc w:val="left"/>
            </w:pPr>
            <w:r/>
            <w:r>
              <w:rPr>
                <w:rFonts w:ascii="Avenir Next" w:hAnsi="Avenir Next"/>
                <w:b w:val="0"/>
                <w:color w:val="1A202C"/>
                <w:sz w:val="18"/>
              </w:rPr>
              <w:t>5</w:t>
            </w:r>
          </w:p>
        </w:tc>
        <w:tc>
          <w:tcPr>
            <w:tcW w:type="dxa" w:w="2033"/>
            <w:shd w:fill="F7FAFC"/>
            <w:vAlign w:val="center"/>
          </w:tcPr>
          <w:p>
            <w:pPr>
              <w:jc w:val="left"/>
            </w:pPr>
            <w:r/>
            <w:r>
              <w:rPr>
                <w:rFonts w:ascii="Avenir Next" w:hAnsi="Avenir Next"/>
                <w:b w:val="0"/>
                <w:color w:val="1A202C"/>
                <w:sz w:val="18"/>
              </w:rPr>
              <w:t>4</w:t>
            </w:r>
          </w:p>
        </w:tc>
        <w:tc>
          <w:tcPr>
            <w:tcW w:type="dxa" w:w="2033"/>
            <w:shd w:fill="F7FAFC"/>
            <w:vAlign w:val="center"/>
          </w:tcPr>
          <w:p>
            <w:pPr>
              <w:jc w:val="left"/>
            </w:pPr>
            <w:r/>
            <w:r>
              <w:rPr>
                <w:rFonts w:ascii="Avenir Next" w:hAnsi="Avenir Next"/>
                <w:b w:val="0"/>
                <w:color w:val="1A202C"/>
                <w:sz w:val="18"/>
              </w:rPr>
              <w:t>3</w:t>
            </w:r>
          </w:p>
        </w:tc>
        <w:tc>
          <w:tcPr>
            <w:tcW w:type="dxa" w:w="2033"/>
            <w:shd w:fill="F7FAFC"/>
            <w:vAlign w:val="center"/>
          </w:tcPr>
          <w:p>
            <w:pPr>
              <w:jc w:val="left"/>
            </w:pPr>
            <w:r/>
            <w:r>
              <w:rPr>
                <w:rFonts w:ascii="Avenir Next" w:hAnsi="Avenir Next"/>
                <w:b w:val="0"/>
                <w:color w:val="1A202C"/>
                <w:sz w:val="18"/>
              </w:rPr>
              <w:t>3</w:t>
            </w:r>
          </w:p>
        </w:tc>
      </w:tr>
      <w:tr>
        <w:tc>
          <w:tcPr>
            <w:tcW w:type="dxa" w:w="2033"/>
            <w:vAlign w:val="center"/>
          </w:tcPr>
          <w:p>
            <w:pPr>
              <w:jc w:val="left"/>
            </w:pPr>
            <w:r/>
            <w:r>
              <w:rPr>
                <w:rFonts w:ascii="Avenir Next" w:hAnsi="Avenir Next"/>
                <w:b w:val="0"/>
                <w:color w:val="1A202C"/>
                <w:sz w:val="18"/>
              </w:rPr>
              <w:t>Jasper</w:t>
            </w:r>
          </w:p>
        </w:tc>
        <w:tc>
          <w:tcPr>
            <w:tcW w:type="dxa" w:w="2033"/>
            <w:vAlign w:val="center"/>
          </w:tcPr>
          <w:p>
            <w:pPr>
              <w:jc w:val="left"/>
            </w:pPr>
            <w:r/>
            <w:r>
              <w:rPr>
                <w:rFonts w:ascii="Avenir Next" w:hAnsi="Avenir Next"/>
                <w:b w:val="0"/>
                <w:color w:val="1A202C"/>
                <w:sz w:val="18"/>
              </w:rPr>
              <w:t>4</w:t>
            </w:r>
          </w:p>
        </w:tc>
        <w:tc>
          <w:tcPr>
            <w:tcW w:type="dxa" w:w="2033"/>
            <w:vAlign w:val="center"/>
          </w:tcPr>
          <w:p>
            <w:pPr>
              <w:jc w:val="left"/>
            </w:pPr>
            <w:r/>
            <w:r>
              <w:rPr>
                <w:rFonts w:ascii="Avenir Next" w:hAnsi="Avenir Next"/>
                <w:b w:val="0"/>
                <w:color w:val="1A202C"/>
                <w:sz w:val="18"/>
              </w:rPr>
              <w:t>4</w:t>
            </w:r>
          </w:p>
        </w:tc>
        <w:tc>
          <w:tcPr>
            <w:tcW w:type="dxa" w:w="2033"/>
            <w:vAlign w:val="center"/>
          </w:tcPr>
          <w:p>
            <w:pPr>
              <w:jc w:val="left"/>
            </w:pPr>
            <w:r/>
            <w:r>
              <w:rPr>
                <w:rFonts w:ascii="Avenir Next" w:hAnsi="Avenir Next"/>
                <w:b w:val="0"/>
                <w:color w:val="1A202C"/>
                <w:sz w:val="18"/>
              </w:rPr>
              <w:t>4</w:t>
            </w:r>
          </w:p>
        </w:tc>
        <w:tc>
          <w:tcPr>
            <w:tcW w:type="dxa" w:w="2033"/>
            <w:vAlign w:val="center"/>
          </w:tcPr>
          <w:p>
            <w:pPr>
              <w:jc w:val="left"/>
            </w:pPr>
            <w:r/>
            <w:r>
              <w:rPr>
                <w:rFonts w:ascii="Avenir Next" w:hAnsi="Avenir Next"/>
                <w:b w:val="0"/>
                <w:color w:val="1A202C"/>
                <w:sz w:val="18"/>
              </w:rPr>
              <w:t>2</w:t>
            </w:r>
          </w:p>
        </w:tc>
      </w:tr>
      <w:tr>
        <w:tc>
          <w:tcPr>
            <w:tcW w:type="dxa" w:w="2033"/>
            <w:shd w:fill="F7FAFC"/>
            <w:vAlign w:val="center"/>
          </w:tcPr>
          <w:p>
            <w:pPr>
              <w:jc w:val="left"/>
            </w:pPr>
            <w:r/>
            <w:r>
              <w:rPr>
                <w:rFonts w:ascii="Avenir Next" w:hAnsi="Avenir Next"/>
                <w:b w:val="0"/>
                <w:color w:val="1A202C"/>
                <w:sz w:val="18"/>
              </w:rPr>
              <w:t>Grammarly</w:t>
            </w:r>
          </w:p>
        </w:tc>
        <w:tc>
          <w:tcPr>
            <w:tcW w:type="dxa" w:w="2033"/>
            <w:shd w:fill="F7FAFC"/>
            <w:vAlign w:val="center"/>
          </w:tcPr>
          <w:p>
            <w:pPr>
              <w:jc w:val="left"/>
            </w:pPr>
            <w:r/>
            <w:r>
              <w:rPr>
                <w:rFonts w:ascii="Avenir Next" w:hAnsi="Avenir Next"/>
                <w:b w:val="0"/>
                <w:color w:val="1A202C"/>
                <w:sz w:val="18"/>
              </w:rPr>
              <w:t>3</w:t>
            </w:r>
          </w:p>
        </w:tc>
        <w:tc>
          <w:tcPr>
            <w:tcW w:type="dxa" w:w="2033"/>
            <w:shd w:fill="F7FAFC"/>
            <w:vAlign w:val="center"/>
          </w:tcPr>
          <w:p>
            <w:pPr>
              <w:jc w:val="left"/>
            </w:pPr>
            <w:r/>
            <w:r>
              <w:rPr>
                <w:rFonts w:ascii="Avenir Next" w:hAnsi="Avenir Next"/>
                <w:b w:val="0"/>
                <w:color w:val="1A202C"/>
                <w:sz w:val="18"/>
              </w:rPr>
              <w:t>3</w:t>
            </w:r>
          </w:p>
        </w:tc>
        <w:tc>
          <w:tcPr>
            <w:tcW w:type="dxa" w:w="2033"/>
            <w:shd w:fill="F7FAFC"/>
            <w:vAlign w:val="center"/>
          </w:tcPr>
          <w:p>
            <w:pPr>
              <w:jc w:val="left"/>
            </w:pPr>
            <w:r/>
            <w:r>
              <w:rPr>
                <w:rFonts w:ascii="Avenir Next" w:hAnsi="Avenir Next"/>
                <w:b w:val="0"/>
                <w:color w:val="1A202C"/>
                <w:sz w:val="18"/>
              </w:rPr>
              <w:t>3</w:t>
            </w:r>
          </w:p>
        </w:tc>
        <w:tc>
          <w:tcPr>
            <w:tcW w:type="dxa" w:w="2033"/>
            <w:shd w:fill="F7FAFC"/>
            <w:vAlign w:val="center"/>
          </w:tcPr>
          <w:p>
            <w:pPr>
              <w:jc w:val="left"/>
            </w:pPr>
            <w:r/>
            <w:r>
              <w:rPr>
                <w:rFonts w:ascii="Avenir Next" w:hAnsi="Avenir Next"/>
                <w:b w:val="0"/>
                <w:color w:val="1A202C"/>
                <w:sz w:val="18"/>
              </w:rPr>
              <w:t>2</w:t>
            </w:r>
          </w:p>
        </w:tc>
      </w:tr>
      <w:tr>
        <w:tc>
          <w:tcPr>
            <w:tcW w:type="dxa" w:w="2033"/>
            <w:vAlign w:val="center"/>
          </w:tcPr>
          <w:p>
            <w:pPr>
              <w:jc w:val="left"/>
            </w:pPr>
            <w:r/>
            <w:r>
              <w:rPr>
                <w:rFonts w:ascii="Avenir Next" w:hAnsi="Avenir Next"/>
                <w:b w:val="0"/>
                <w:color w:val="1A202C"/>
                <w:sz w:val="18"/>
              </w:rPr>
              <w:t>Fireflies</w:t>
            </w:r>
          </w:p>
        </w:tc>
        <w:tc>
          <w:tcPr>
            <w:tcW w:type="dxa" w:w="2033"/>
            <w:vAlign w:val="center"/>
          </w:tcPr>
          <w:p>
            <w:pPr>
              <w:jc w:val="left"/>
            </w:pPr>
            <w:r/>
            <w:r>
              <w:rPr>
                <w:rFonts w:ascii="Avenir Next" w:hAnsi="Avenir Next"/>
                <w:b w:val="0"/>
                <w:color w:val="1A202C"/>
                <w:sz w:val="18"/>
              </w:rPr>
              <w:t>3</w:t>
            </w:r>
          </w:p>
        </w:tc>
        <w:tc>
          <w:tcPr>
            <w:tcW w:type="dxa" w:w="2033"/>
            <w:vAlign w:val="center"/>
          </w:tcPr>
          <w:p>
            <w:pPr>
              <w:jc w:val="left"/>
            </w:pPr>
            <w:r/>
            <w:r>
              <w:rPr>
                <w:rFonts w:ascii="Avenir Next" w:hAnsi="Avenir Next"/>
                <w:b w:val="0"/>
                <w:color w:val="1A202C"/>
                <w:sz w:val="18"/>
              </w:rPr>
              <w:t>4</w:t>
            </w:r>
          </w:p>
        </w:tc>
        <w:tc>
          <w:tcPr>
            <w:tcW w:type="dxa" w:w="2033"/>
            <w:vAlign w:val="center"/>
          </w:tcPr>
          <w:p>
            <w:pPr>
              <w:jc w:val="left"/>
            </w:pPr>
            <w:r/>
            <w:r>
              <w:rPr>
                <w:rFonts w:ascii="Avenir Next" w:hAnsi="Avenir Next"/>
                <w:b w:val="0"/>
                <w:color w:val="1A202C"/>
                <w:sz w:val="18"/>
              </w:rPr>
              <w:t>3</w:t>
            </w:r>
          </w:p>
        </w:tc>
        <w:tc>
          <w:tcPr>
            <w:tcW w:type="dxa" w:w="2033"/>
            <w:vAlign w:val="center"/>
          </w:tcPr>
          <w:p>
            <w:pPr>
              <w:jc w:val="left"/>
            </w:pPr>
            <w:r/>
            <w:r>
              <w:rPr>
                <w:rFonts w:ascii="Avenir Next" w:hAnsi="Avenir Next"/>
                <w:b w:val="0"/>
                <w:color w:val="1A202C"/>
                <w:sz w:val="18"/>
              </w:rPr>
              <w:t>2</w:t>
            </w:r>
          </w:p>
        </w:tc>
      </w:tr>
    </w:tbl>
    <w:p>
      <w:pPr>
        <w:spacing w:after="40"/>
        <w:jc w:val="left"/>
      </w:pPr>
      <w:r>
        <w:rPr>
          <w:rFonts w:ascii="Avenir Next" w:hAnsi="Avenir Next"/>
          <w:b w:val="0"/>
          <w:color w:val="1A202C"/>
          <w:sz w:val="21"/>
        </w:rPr>
      </w:r>
    </w:p>
    <w:p>
      <w:pPr>
        <w:pStyle w:val="Heading1"/>
        <w:spacing w:before="200" w:after="80"/>
      </w:pPr>
      <w:r>
        <w:t>White-Space Screening</w:t>
      </w:r>
    </w:p>
    <w:p>
      <w:pPr>
        <w:spacing w:after="120"/>
        <w:jc w:val="left"/>
      </w:pPr>
      <w:r>
        <w:rPr>
          <w:rFonts w:ascii="Avenir Next" w:hAnsi="Avenir Next"/>
          <w:b w:val="0"/>
          <w:color w:val="1A202C"/>
          <w:sz w:val="21"/>
        </w:rPr>
        <w:t>The benchmark leads to three candidate wedges. Each wedge was screened against attractiveness, defensibility, and implementation ease. The goal is not to prove a final product thesis. It is to reduce the field to strategically credible options.</w:t>
      </w:r>
    </w:p>
    <w:p>
      <w:pPr>
        <w:spacing w:after="0"/>
        <w:jc w:val="left"/>
      </w:pPr>
      <w:r>
        <w:rPr>
          <w:rFonts w:ascii="Avenir Next" w:hAnsi="Avenir Next"/>
          <w:b w:val="0"/>
          <w:color w:val="1A202C"/>
          <w:sz w:val="21"/>
        </w:rPr>
      </w:r>
    </w:p>
    <w:p>
      <w:pPr>
        <w:spacing w:after="40"/>
        <w:jc w:val="left"/>
      </w:pPr>
      <w:r>
        <w:rPr>
          <w:rFonts w:ascii="Avenir Next" w:hAnsi="Avenir Next"/>
          <w:b/>
          <w:color w:val="4A5568"/>
          <w:sz w:val="18"/>
        </w:rPr>
        <w:t>Candidate wedges screened</w:t>
      </w:r>
    </w:p>
    <w:tbl>
      <w:tblPr>
        <w:tblW w:type="auto" w:w="0"/>
        <w:jc w:val="left"/>
        <w:tblLayout w:type="autofit"/>
        <w:tblLook w:firstColumn="1" w:firstRow="1" w:lastColumn="0" w:lastRow="0" w:noHBand="0" w:noVBand="1" w:val="04A0"/>
      </w:tblPr>
      <w:tblGrid>
        <w:gridCol w:w="2033"/>
        <w:gridCol w:w="2033"/>
        <w:gridCol w:w="2033"/>
        <w:gridCol w:w="2033"/>
        <w:gridCol w:w="2033"/>
      </w:tblGrid>
      <w:tr>
        <w:tc>
          <w:tcPr>
            <w:tcW w:type="dxa" w:w="2033"/>
            <w:shd w:fill="1A2332"/>
            <w:vAlign w:val="center"/>
          </w:tcPr>
          <w:p>
            <w:pPr>
              <w:jc w:val="center"/>
            </w:pPr>
            <w:r/>
            <w:r>
              <w:rPr>
                <w:rFonts w:ascii="Avenir Next" w:hAnsi="Avenir Next"/>
                <w:b/>
                <w:color w:val="FFFFFF"/>
                <w:sz w:val="19"/>
              </w:rPr>
              <w:t>Wedge</w:t>
            </w:r>
          </w:p>
        </w:tc>
        <w:tc>
          <w:tcPr>
            <w:tcW w:type="dxa" w:w="2033"/>
            <w:shd w:fill="1A2332"/>
            <w:vAlign w:val="center"/>
          </w:tcPr>
          <w:p>
            <w:pPr>
              <w:jc w:val="center"/>
            </w:pPr>
            <w:r/>
            <w:r>
              <w:rPr>
                <w:rFonts w:ascii="Avenir Next" w:hAnsi="Avenir Next"/>
                <w:b/>
                <w:color w:val="FFFFFF"/>
                <w:sz w:val="19"/>
              </w:rPr>
              <w:t>Attractiveness</w:t>
            </w:r>
          </w:p>
        </w:tc>
        <w:tc>
          <w:tcPr>
            <w:tcW w:type="dxa" w:w="2033"/>
            <w:shd w:fill="1A2332"/>
            <w:vAlign w:val="center"/>
          </w:tcPr>
          <w:p>
            <w:pPr>
              <w:jc w:val="center"/>
            </w:pPr>
            <w:r/>
            <w:r>
              <w:rPr>
                <w:rFonts w:ascii="Avenir Next" w:hAnsi="Avenir Next"/>
                <w:b/>
                <w:color w:val="FFFFFF"/>
                <w:sz w:val="19"/>
              </w:rPr>
              <w:t>Defensibility</w:t>
            </w:r>
          </w:p>
        </w:tc>
        <w:tc>
          <w:tcPr>
            <w:tcW w:type="dxa" w:w="2033"/>
            <w:shd w:fill="1A2332"/>
            <w:vAlign w:val="center"/>
          </w:tcPr>
          <w:p>
            <w:pPr>
              <w:jc w:val="center"/>
            </w:pPr>
            <w:r/>
            <w:r>
              <w:rPr>
                <w:rFonts w:ascii="Avenir Next" w:hAnsi="Avenir Next"/>
                <w:b/>
                <w:color w:val="FFFFFF"/>
                <w:sz w:val="19"/>
              </w:rPr>
              <w:t>Ease of entry</w:t>
            </w:r>
          </w:p>
        </w:tc>
        <w:tc>
          <w:tcPr>
            <w:tcW w:type="dxa" w:w="2033"/>
            <w:shd w:fill="1A2332"/>
            <w:vAlign w:val="center"/>
          </w:tcPr>
          <w:p>
            <w:pPr>
              <w:jc w:val="center"/>
            </w:pPr>
            <w:r/>
            <w:r>
              <w:rPr>
                <w:rFonts w:ascii="Avenir Next" w:hAnsi="Avenir Next"/>
                <w:b/>
                <w:color w:val="FFFFFF"/>
                <w:sz w:val="19"/>
              </w:rPr>
              <w:t>Why it matters</w:t>
            </w:r>
          </w:p>
        </w:tc>
      </w:tr>
      <w:tr>
        <w:tc>
          <w:tcPr>
            <w:tcW w:type="dxa" w:w="2033"/>
            <w:shd w:fill="F7FAFC"/>
            <w:vAlign w:val="center"/>
          </w:tcPr>
          <w:p>
            <w:pPr>
              <w:jc w:val="left"/>
            </w:pPr>
            <w:r/>
            <w:r>
              <w:rPr>
                <w:rFonts w:ascii="Avenir Next" w:hAnsi="Avenir Next"/>
                <w:b w:val="0"/>
                <w:color w:val="1A202C"/>
                <w:sz w:val="18"/>
              </w:rPr>
              <w:t>Compliance-first workflow tools</w:t>
            </w:r>
          </w:p>
        </w:tc>
        <w:tc>
          <w:tcPr>
            <w:tcW w:type="dxa" w:w="2033"/>
            <w:shd w:fill="F7FAFC"/>
            <w:vAlign w:val="center"/>
          </w:tcPr>
          <w:p>
            <w:pPr>
              <w:jc w:val="left"/>
            </w:pPr>
            <w:r/>
            <w:r>
              <w:rPr>
                <w:rFonts w:ascii="Avenir Next" w:hAnsi="Avenir Next"/>
                <w:b w:val="0"/>
                <w:color w:val="1A202C"/>
                <w:sz w:val="18"/>
              </w:rPr>
              <w:t>High</w:t>
            </w:r>
          </w:p>
        </w:tc>
        <w:tc>
          <w:tcPr>
            <w:tcW w:type="dxa" w:w="2033"/>
            <w:shd w:fill="F7FAFC"/>
            <w:vAlign w:val="center"/>
          </w:tcPr>
          <w:p>
            <w:pPr>
              <w:jc w:val="left"/>
            </w:pPr>
            <w:r/>
            <w:r>
              <w:rPr>
                <w:rFonts w:ascii="Avenir Next" w:hAnsi="Avenir Next"/>
                <w:b w:val="0"/>
                <w:color w:val="1A202C"/>
                <w:sz w:val="18"/>
              </w:rPr>
              <w:t>High</w:t>
            </w:r>
          </w:p>
        </w:tc>
        <w:tc>
          <w:tcPr>
            <w:tcW w:type="dxa" w:w="2033"/>
            <w:shd w:fill="F7FAFC"/>
            <w:vAlign w:val="center"/>
          </w:tcPr>
          <w:p>
            <w:pPr>
              <w:jc w:val="left"/>
            </w:pPr>
            <w:r/>
            <w:r>
              <w:rPr>
                <w:rFonts w:ascii="Avenir Next" w:hAnsi="Avenir Next"/>
                <w:b w:val="0"/>
                <w:color w:val="1A202C"/>
                <w:sz w:val="18"/>
              </w:rPr>
              <w:t>Medium</w:t>
            </w:r>
          </w:p>
        </w:tc>
        <w:tc>
          <w:tcPr>
            <w:tcW w:type="dxa" w:w="2033"/>
            <w:shd w:fill="F7FAFC"/>
            <w:vAlign w:val="center"/>
          </w:tcPr>
          <w:p>
            <w:pPr>
              <w:jc w:val="left"/>
            </w:pPr>
            <w:r/>
            <w:r>
              <w:rPr>
                <w:rFonts w:ascii="Avenir Next" w:hAnsi="Avenir Next"/>
                <w:b w:val="0"/>
                <w:color w:val="1A202C"/>
                <w:sz w:val="18"/>
              </w:rPr>
              <w:t>Incumbents are broad; control-heavy workflows remain under-served</w:t>
            </w:r>
          </w:p>
        </w:tc>
      </w:tr>
      <w:tr>
        <w:tc>
          <w:tcPr>
            <w:tcW w:type="dxa" w:w="2033"/>
            <w:vAlign w:val="center"/>
          </w:tcPr>
          <w:p>
            <w:pPr>
              <w:jc w:val="left"/>
            </w:pPr>
            <w:r/>
            <w:r>
              <w:rPr>
                <w:rFonts w:ascii="Avenir Next" w:hAnsi="Avenir Next"/>
                <w:b w:val="0"/>
                <w:color w:val="1A202C"/>
                <w:sz w:val="18"/>
              </w:rPr>
              <w:t>Emerging-market price localization</w:t>
            </w:r>
          </w:p>
        </w:tc>
        <w:tc>
          <w:tcPr>
            <w:tcW w:type="dxa" w:w="2033"/>
            <w:vAlign w:val="center"/>
          </w:tcPr>
          <w:p>
            <w:pPr>
              <w:jc w:val="left"/>
            </w:pPr>
            <w:r/>
            <w:r>
              <w:rPr>
                <w:rFonts w:ascii="Avenir Next" w:hAnsi="Avenir Next"/>
                <w:b w:val="0"/>
                <w:color w:val="1A202C"/>
                <w:sz w:val="18"/>
              </w:rPr>
              <w:t>Medium-High</w:t>
            </w:r>
          </w:p>
        </w:tc>
        <w:tc>
          <w:tcPr>
            <w:tcW w:type="dxa" w:w="2033"/>
            <w:vAlign w:val="center"/>
          </w:tcPr>
          <w:p>
            <w:pPr>
              <w:jc w:val="left"/>
            </w:pPr>
            <w:r/>
            <w:r>
              <w:rPr>
                <w:rFonts w:ascii="Avenir Next" w:hAnsi="Avenir Next"/>
                <w:b w:val="0"/>
                <w:color w:val="1A202C"/>
                <w:sz w:val="18"/>
              </w:rPr>
              <w:t>Medium</w:t>
            </w:r>
          </w:p>
        </w:tc>
        <w:tc>
          <w:tcPr>
            <w:tcW w:type="dxa" w:w="2033"/>
            <w:vAlign w:val="center"/>
          </w:tcPr>
          <w:p>
            <w:pPr>
              <w:jc w:val="left"/>
            </w:pPr>
            <w:r/>
            <w:r>
              <w:rPr>
                <w:rFonts w:ascii="Avenir Next" w:hAnsi="Avenir Next"/>
                <w:b w:val="0"/>
                <w:color w:val="1A202C"/>
                <w:sz w:val="18"/>
              </w:rPr>
              <w:t>Medium-High</w:t>
            </w:r>
          </w:p>
        </w:tc>
        <w:tc>
          <w:tcPr>
            <w:tcW w:type="dxa" w:w="2033"/>
            <w:vAlign w:val="center"/>
          </w:tcPr>
          <w:p>
            <w:pPr>
              <w:jc w:val="left"/>
            </w:pPr>
            <w:r/>
            <w:r>
              <w:rPr>
                <w:rFonts w:ascii="Avenir Next" w:hAnsi="Avenir Next"/>
                <w:b w:val="0"/>
                <w:color w:val="1A202C"/>
                <w:sz w:val="18"/>
              </w:rPr>
              <w:t>Global pricing often misses local willingness-to-pay realities</w:t>
            </w:r>
          </w:p>
        </w:tc>
      </w:tr>
      <w:tr>
        <w:tc>
          <w:tcPr>
            <w:tcW w:type="dxa" w:w="2033"/>
            <w:shd w:fill="F7FAFC"/>
            <w:vAlign w:val="center"/>
          </w:tcPr>
          <w:p>
            <w:pPr>
              <w:jc w:val="left"/>
            </w:pPr>
            <w:r/>
            <w:r>
              <w:rPr>
                <w:rFonts w:ascii="Avenir Next" w:hAnsi="Avenir Next"/>
                <w:b w:val="0"/>
                <w:color w:val="1A202C"/>
                <w:sz w:val="18"/>
              </w:rPr>
              <w:t>Premium solo operator tools</w:t>
            </w:r>
          </w:p>
        </w:tc>
        <w:tc>
          <w:tcPr>
            <w:tcW w:type="dxa" w:w="2033"/>
            <w:shd w:fill="F7FAFC"/>
            <w:vAlign w:val="center"/>
          </w:tcPr>
          <w:p>
            <w:pPr>
              <w:jc w:val="left"/>
            </w:pPr>
            <w:r/>
            <w:r>
              <w:rPr>
                <w:rFonts w:ascii="Avenir Next" w:hAnsi="Avenir Next"/>
                <w:b w:val="0"/>
                <w:color w:val="1A202C"/>
                <w:sz w:val="18"/>
              </w:rPr>
              <w:t>Medium</w:t>
            </w:r>
          </w:p>
        </w:tc>
        <w:tc>
          <w:tcPr>
            <w:tcW w:type="dxa" w:w="2033"/>
            <w:shd w:fill="F7FAFC"/>
            <w:vAlign w:val="center"/>
          </w:tcPr>
          <w:p>
            <w:pPr>
              <w:jc w:val="left"/>
            </w:pPr>
            <w:r/>
            <w:r>
              <w:rPr>
                <w:rFonts w:ascii="Avenir Next" w:hAnsi="Avenir Next"/>
                <w:b w:val="0"/>
                <w:color w:val="1A202C"/>
                <w:sz w:val="18"/>
              </w:rPr>
              <w:t>Medium</w:t>
            </w:r>
          </w:p>
        </w:tc>
        <w:tc>
          <w:tcPr>
            <w:tcW w:type="dxa" w:w="2033"/>
            <w:shd w:fill="F7FAFC"/>
            <w:vAlign w:val="center"/>
          </w:tcPr>
          <w:p>
            <w:pPr>
              <w:jc w:val="left"/>
            </w:pPr>
            <w:r/>
            <w:r>
              <w:rPr>
                <w:rFonts w:ascii="Avenir Next" w:hAnsi="Avenir Next"/>
                <w:b w:val="0"/>
                <w:color w:val="1A202C"/>
                <w:sz w:val="18"/>
              </w:rPr>
              <w:t>High</w:t>
            </w:r>
          </w:p>
        </w:tc>
        <w:tc>
          <w:tcPr>
            <w:tcW w:type="dxa" w:w="2033"/>
            <w:shd w:fill="F7FAFC"/>
            <w:vAlign w:val="center"/>
          </w:tcPr>
          <w:p>
            <w:pPr>
              <w:jc w:val="left"/>
            </w:pPr>
            <w:r/>
            <w:r>
              <w:rPr>
                <w:rFonts w:ascii="Avenir Next" w:hAnsi="Avenir Next"/>
                <w:b w:val="0"/>
                <w:color w:val="1A202C"/>
                <w:sz w:val="18"/>
              </w:rPr>
              <w:t>High-value users still pay for clear quality advantages</w:t>
            </w:r>
          </w:p>
        </w:tc>
      </w:tr>
    </w:tbl>
    <w:p>
      <w:pPr>
        <w:spacing w:after="40"/>
        <w:jc w:val="left"/>
      </w:pPr>
      <w:r>
        <w:rPr>
          <w:rFonts w:ascii="Avenir Next" w:hAnsi="Avenir Next"/>
          <w:b w:val="0"/>
          <w:color w:val="1A202C"/>
          <w:sz w:val="21"/>
        </w:rPr>
      </w:r>
    </w:p>
    <w:p>
      <w:pPr>
        <w:pStyle w:val="Heading1"/>
        <w:spacing w:before="200" w:after="80"/>
      </w:pPr>
      <w:r>
        <w:t>Entry Sequencing</w:t>
      </w:r>
    </w:p>
    <w:p>
      <w:pPr>
        <w:spacing w:after="120"/>
        <w:jc w:val="left"/>
      </w:pPr>
      <w:r>
        <w:rPr>
          <w:rFonts w:ascii="Avenir Next" w:hAnsi="Avenir Next"/>
          <w:b w:val="0"/>
          <w:color w:val="1A202C"/>
          <w:sz w:val="21"/>
        </w:rPr>
        <w:t>The market logic implies a sequence, not just a wedge choice. A credible entrant should first win in a narrow workflow where reviewability matters, then expand into adjacent use cases only after the wedge proves pricing power.</w:t>
      </w:r>
    </w:p>
    <w:p>
      <w:pPr>
        <w:spacing w:after="0"/>
        <w:jc w:val="left"/>
      </w:pPr>
      <w:r>
        <w:rPr>
          <w:rFonts w:ascii="Avenir Next" w:hAnsi="Avenir Next"/>
          <w:b w:val="0"/>
          <w:color w:val="1A202C"/>
          <w:sz w:val="21"/>
        </w:rPr>
      </w:r>
    </w:p>
    <w:p>
      <w:pPr>
        <w:spacing w:after="40"/>
        <w:jc w:val="left"/>
      </w:pPr>
      <w:r>
        <w:rPr>
          <w:rFonts w:ascii="Avenir Next" w:hAnsi="Avenir Next"/>
          <w:b/>
          <w:color w:val="4A5568"/>
          <w:sz w:val="18"/>
        </w:rPr>
        <w:t>Illustrative entry sequence</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1A2332"/>
            <w:vAlign w:val="center"/>
          </w:tcPr>
          <w:p>
            <w:pPr>
              <w:jc w:val="center"/>
            </w:pPr>
            <w:r/>
            <w:r>
              <w:rPr>
                <w:rFonts w:ascii="Avenir Next" w:hAnsi="Avenir Next"/>
                <w:b/>
                <w:color w:val="FFFFFF"/>
                <w:sz w:val="19"/>
              </w:rPr>
              <w:t>Phase</w:t>
            </w:r>
          </w:p>
        </w:tc>
        <w:tc>
          <w:tcPr>
            <w:tcW w:type="dxa" w:w="2541"/>
            <w:shd w:fill="1A2332"/>
            <w:vAlign w:val="center"/>
          </w:tcPr>
          <w:p>
            <w:pPr>
              <w:jc w:val="center"/>
            </w:pPr>
            <w:r/>
            <w:r>
              <w:rPr>
                <w:rFonts w:ascii="Avenir Next" w:hAnsi="Avenir Next"/>
                <w:b/>
                <w:color w:val="FFFFFF"/>
                <w:sz w:val="19"/>
              </w:rPr>
              <w:t>Strategic move</w:t>
            </w:r>
          </w:p>
        </w:tc>
        <w:tc>
          <w:tcPr>
            <w:tcW w:type="dxa" w:w="2541"/>
            <w:shd w:fill="1A2332"/>
            <w:vAlign w:val="center"/>
          </w:tcPr>
          <w:p>
            <w:pPr>
              <w:jc w:val="center"/>
            </w:pPr>
            <w:r/>
            <w:r>
              <w:rPr>
                <w:rFonts w:ascii="Avenir Next" w:hAnsi="Avenir Next"/>
                <w:b/>
                <w:color w:val="FFFFFF"/>
                <w:sz w:val="19"/>
              </w:rPr>
              <w:t>Why it comes first</w:t>
            </w:r>
          </w:p>
        </w:tc>
        <w:tc>
          <w:tcPr>
            <w:tcW w:type="dxa" w:w="2541"/>
            <w:shd w:fill="1A2332"/>
            <w:vAlign w:val="center"/>
          </w:tcPr>
          <w:p>
            <w:pPr>
              <w:jc w:val="center"/>
            </w:pPr>
            <w:r/>
            <w:r>
              <w:rPr>
                <w:rFonts w:ascii="Avenir Next" w:hAnsi="Avenir Next"/>
                <w:b/>
                <w:color w:val="FFFFFF"/>
                <w:sz w:val="19"/>
              </w:rPr>
              <w:t>Risk to watch</w:t>
            </w:r>
          </w:p>
        </w:tc>
      </w:tr>
      <w:tr>
        <w:tc>
          <w:tcPr>
            <w:tcW w:type="dxa" w:w="2541"/>
            <w:shd w:fill="F7FAFC"/>
            <w:vAlign w:val="center"/>
          </w:tcPr>
          <w:p>
            <w:pPr>
              <w:jc w:val="left"/>
            </w:pPr>
            <w:r/>
            <w:r>
              <w:rPr>
                <w:rFonts w:ascii="Avenir Next" w:hAnsi="Avenir Next"/>
                <w:b w:val="0"/>
                <w:color w:val="1A202C"/>
                <w:sz w:val="18"/>
              </w:rPr>
              <w:t>1</w:t>
            </w:r>
          </w:p>
        </w:tc>
        <w:tc>
          <w:tcPr>
            <w:tcW w:type="dxa" w:w="2541"/>
            <w:shd w:fill="F7FAFC"/>
            <w:vAlign w:val="center"/>
          </w:tcPr>
          <w:p>
            <w:pPr>
              <w:jc w:val="left"/>
            </w:pPr>
            <w:r/>
            <w:r>
              <w:rPr>
                <w:rFonts w:ascii="Avenir Next" w:hAnsi="Avenir Next"/>
                <w:b w:val="0"/>
                <w:color w:val="1A202C"/>
                <w:sz w:val="18"/>
              </w:rPr>
              <w:t>Compliance-first workflow wedge</w:t>
            </w:r>
          </w:p>
        </w:tc>
        <w:tc>
          <w:tcPr>
            <w:tcW w:type="dxa" w:w="2541"/>
            <w:shd w:fill="F7FAFC"/>
            <w:vAlign w:val="center"/>
          </w:tcPr>
          <w:p>
            <w:pPr>
              <w:jc w:val="left"/>
            </w:pPr>
            <w:r/>
            <w:r>
              <w:rPr>
                <w:rFonts w:ascii="Avenir Next" w:hAnsi="Avenir Next"/>
                <w:b w:val="0"/>
                <w:color w:val="1A202C"/>
                <w:sz w:val="18"/>
              </w:rPr>
              <w:t>Highest differentiation and best pricing resilience</w:t>
            </w:r>
          </w:p>
        </w:tc>
        <w:tc>
          <w:tcPr>
            <w:tcW w:type="dxa" w:w="2541"/>
            <w:shd w:fill="F7FAFC"/>
            <w:vAlign w:val="center"/>
          </w:tcPr>
          <w:p>
            <w:pPr>
              <w:jc w:val="left"/>
            </w:pPr>
            <w:r/>
            <w:r>
              <w:rPr>
                <w:rFonts w:ascii="Avenir Next" w:hAnsi="Avenir Next"/>
                <w:b w:val="0"/>
                <w:color w:val="1A202C"/>
                <w:sz w:val="18"/>
              </w:rPr>
              <w:t>Market may be smaller than broad productivity</w:t>
            </w:r>
          </w:p>
        </w:tc>
      </w:tr>
      <w:tr>
        <w:tc>
          <w:tcPr>
            <w:tcW w:type="dxa" w:w="2541"/>
            <w:vAlign w:val="center"/>
          </w:tcPr>
          <w:p>
            <w:pPr>
              <w:jc w:val="left"/>
            </w:pPr>
            <w:r/>
            <w:r>
              <w:rPr>
                <w:rFonts w:ascii="Avenir Next" w:hAnsi="Avenir Next"/>
                <w:b w:val="0"/>
                <w:color w:val="1A202C"/>
                <w:sz w:val="18"/>
              </w:rPr>
              <w:t>2</w:t>
            </w:r>
          </w:p>
        </w:tc>
        <w:tc>
          <w:tcPr>
            <w:tcW w:type="dxa" w:w="2541"/>
            <w:vAlign w:val="center"/>
          </w:tcPr>
          <w:p>
            <w:pPr>
              <w:jc w:val="left"/>
            </w:pPr>
            <w:r/>
            <w:r>
              <w:rPr>
                <w:rFonts w:ascii="Avenir Next" w:hAnsi="Avenir Next"/>
                <w:b w:val="0"/>
                <w:color w:val="1A202C"/>
                <w:sz w:val="18"/>
              </w:rPr>
              <w:t>Adjacent control-sensitive workflow expansion</w:t>
            </w:r>
          </w:p>
        </w:tc>
        <w:tc>
          <w:tcPr>
            <w:tcW w:type="dxa" w:w="2541"/>
            <w:vAlign w:val="center"/>
          </w:tcPr>
          <w:p>
            <w:pPr>
              <w:jc w:val="left"/>
            </w:pPr>
            <w:r/>
            <w:r>
              <w:rPr>
                <w:rFonts w:ascii="Avenir Next" w:hAnsi="Avenir Next"/>
                <w:b w:val="0"/>
                <w:color w:val="1A202C"/>
                <w:sz w:val="18"/>
              </w:rPr>
              <w:t>Reuses trust and governance architecture</w:t>
            </w:r>
          </w:p>
        </w:tc>
        <w:tc>
          <w:tcPr>
            <w:tcW w:type="dxa" w:w="2541"/>
            <w:vAlign w:val="center"/>
          </w:tcPr>
          <w:p>
            <w:pPr>
              <w:jc w:val="left"/>
            </w:pPr>
            <w:r/>
            <w:r>
              <w:rPr>
                <w:rFonts w:ascii="Avenir Next" w:hAnsi="Avenir Next"/>
                <w:b w:val="0"/>
                <w:color w:val="1A202C"/>
                <w:sz w:val="18"/>
              </w:rPr>
              <w:t>Product complexity grows too quickly</w:t>
            </w:r>
          </w:p>
        </w:tc>
      </w:tr>
      <w:tr>
        <w:tc>
          <w:tcPr>
            <w:tcW w:type="dxa" w:w="2541"/>
            <w:shd w:fill="F7FAFC"/>
            <w:vAlign w:val="center"/>
          </w:tcPr>
          <w:p>
            <w:pPr>
              <w:jc w:val="left"/>
            </w:pPr>
            <w:r/>
            <w:r>
              <w:rPr>
                <w:rFonts w:ascii="Avenir Next" w:hAnsi="Avenir Next"/>
                <w:b w:val="0"/>
                <w:color w:val="1A202C"/>
                <w:sz w:val="18"/>
              </w:rPr>
              <w:t>3</w:t>
            </w:r>
          </w:p>
        </w:tc>
        <w:tc>
          <w:tcPr>
            <w:tcW w:type="dxa" w:w="2541"/>
            <w:shd w:fill="F7FAFC"/>
            <w:vAlign w:val="center"/>
          </w:tcPr>
          <w:p>
            <w:pPr>
              <w:jc w:val="left"/>
            </w:pPr>
            <w:r/>
            <w:r>
              <w:rPr>
                <w:rFonts w:ascii="Avenir Next" w:hAnsi="Avenir Next"/>
                <w:b w:val="0"/>
                <w:color w:val="1A202C"/>
                <w:sz w:val="18"/>
              </w:rPr>
              <w:t>Selective geographic localization</w:t>
            </w:r>
          </w:p>
        </w:tc>
        <w:tc>
          <w:tcPr>
            <w:tcW w:type="dxa" w:w="2541"/>
            <w:shd w:fill="F7FAFC"/>
            <w:vAlign w:val="center"/>
          </w:tcPr>
          <w:p>
            <w:pPr>
              <w:jc w:val="left"/>
            </w:pPr>
            <w:r/>
            <w:r>
              <w:rPr>
                <w:rFonts w:ascii="Avenir Next" w:hAnsi="Avenir Next"/>
                <w:b w:val="0"/>
                <w:color w:val="1A202C"/>
                <w:sz w:val="18"/>
              </w:rPr>
              <w:t>Supports expansion where global pricing misfits local budgets</w:t>
            </w:r>
          </w:p>
        </w:tc>
        <w:tc>
          <w:tcPr>
            <w:tcW w:type="dxa" w:w="2541"/>
            <w:shd w:fill="F7FAFC"/>
            <w:vAlign w:val="center"/>
          </w:tcPr>
          <w:p>
            <w:pPr>
              <w:jc w:val="left"/>
            </w:pPr>
            <w:r/>
            <w:r>
              <w:rPr>
                <w:rFonts w:ascii="Avenir Next" w:hAnsi="Avenir Next"/>
                <w:b w:val="0"/>
                <w:color w:val="1A202C"/>
                <w:sz w:val="18"/>
              </w:rPr>
              <w:t>Localization becomes a discount story rather than a strategy</w:t>
            </w:r>
          </w:p>
        </w:tc>
      </w:tr>
    </w:tbl>
    <w:p>
      <w:pPr>
        <w:spacing w:after="40"/>
        <w:jc w:val="left"/>
      </w:pPr>
      <w:r>
        <w:rPr>
          <w:rFonts w:ascii="Avenir Next" w:hAnsi="Avenir Next"/>
          <w:b w:val="0"/>
          <w:color w:val="1A202C"/>
          <w:sz w:val="21"/>
        </w:rPr>
      </w:r>
    </w:p>
    <w:p>
      <w:pPr>
        <w:pStyle w:val="Heading1"/>
        <w:spacing w:before="200" w:after="80"/>
      </w:pPr>
      <w:r>
        <w:t>Recommendation and Risk</w:t>
      </w:r>
    </w:p>
    <w:p>
      <w:pPr>
        <w:spacing w:after="120"/>
        <w:jc w:val="left"/>
      </w:pPr>
      <w:r>
        <w:rPr>
          <w:rFonts w:ascii="Avenir Next" w:hAnsi="Avenir Next"/>
          <w:b w:val="0"/>
          <w:color w:val="1A202C"/>
          <w:sz w:val="21"/>
        </w:rPr>
        <w:t>The strongest commercial recommendation is to pursue a compliance-first workflow wedge rather than a broad horizontal productivity tool. It is the clearest intersection of buyer pain, differentiation, and pricing resilience.</w:t>
      </w:r>
    </w:p>
    <w:p>
      <w:pPr>
        <w:pStyle w:val="ListBullet"/>
        <w:spacing w:after="40"/>
      </w:pPr>
      <w:r>
        <w:rPr>
          <w:rFonts w:ascii="Avenir Next" w:hAnsi="Avenir Next"/>
          <w:color w:val="1A202C"/>
          <w:sz w:val="20"/>
        </w:rPr>
        <w:t>Do not attack incumbents on breadth; attack them where workflow precision and reviewability matter.</w:t>
      </w:r>
    </w:p>
    <w:p>
      <w:pPr>
        <w:pStyle w:val="ListBullet"/>
        <w:spacing w:after="40"/>
      </w:pPr>
      <w:r>
        <w:rPr>
          <w:rFonts w:ascii="Avenir Next" w:hAnsi="Avenir Next"/>
          <w:color w:val="1A202C"/>
          <w:sz w:val="20"/>
        </w:rPr>
        <w:t>Treat packaging and pricing as part of the positioning system, not a downstream revenue step.</w:t>
      </w:r>
    </w:p>
    <w:p>
      <w:pPr>
        <w:pStyle w:val="ListBullet"/>
        <w:spacing w:after="40"/>
      </w:pPr>
      <w:r>
        <w:rPr>
          <w:rFonts w:ascii="Avenir Next" w:hAnsi="Avenir Next"/>
          <w:color w:val="1A202C"/>
          <w:sz w:val="20"/>
        </w:rPr>
        <w:t>Recognize the risks: incumbent bundling, API cost pressure, feature commoditization, and acquisition-cost inflation.</w:t>
      </w:r>
    </w:p>
    <w:p>
      <w:pPr>
        <w:pStyle w:val="Heading1"/>
        <w:spacing w:before="200" w:after="80"/>
      </w:pPr>
      <w:r>
        <w:t>Evidence Register</w:t>
      </w:r>
    </w:p>
    <w:p>
      <w:pPr>
        <w:spacing w:after="0"/>
        <w:jc w:val="left"/>
      </w:pPr>
      <w:r>
        <w:rPr>
          <w:rFonts w:ascii="Avenir Next" w:hAnsi="Avenir Next"/>
          <w:b w:val="0"/>
          <w:color w:val="1A202C"/>
          <w:sz w:val="21"/>
        </w:rPr>
      </w:r>
    </w:p>
    <w:p>
      <w:pPr>
        <w:spacing w:after="40"/>
        <w:jc w:val="left"/>
      </w:pPr>
      <w:r>
        <w:rPr>
          <w:rFonts w:ascii="Avenir Next" w:hAnsi="Avenir Next"/>
          <w:b/>
          <w:color w:val="4A5568"/>
          <w:sz w:val="18"/>
        </w:rPr>
        <w:t>Evidence and annexes used</w:t>
      </w:r>
    </w:p>
    <w:tbl>
      <w:tblPr>
        <w:tblW w:type="auto" w:w="0"/>
        <w:jc w:val="left"/>
        <w:tblLayout w:type="autofit"/>
        <w:tblLook w:firstColumn="1" w:firstRow="1" w:lastColumn="0" w:lastRow="0" w:noHBand="0" w:noVBand="1" w:val="04A0"/>
      </w:tblPr>
      <w:tblGrid>
        <w:gridCol w:w="3389"/>
        <w:gridCol w:w="3389"/>
        <w:gridCol w:w="3389"/>
      </w:tblGrid>
      <w:tr>
        <w:tc>
          <w:tcPr>
            <w:tcW w:type="dxa" w:w="3389"/>
            <w:shd w:fill="1A2332"/>
            <w:vAlign w:val="center"/>
          </w:tcPr>
          <w:p>
            <w:pPr>
              <w:jc w:val="center"/>
            </w:pPr>
            <w:r/>
            <w:r>
              <w:rPr>
                <w:rFonts w:ascii="Avenir Next" w:hAnsi="Avenir Next"/>
                <w:b/>
                <w:color w:val="FFFFFF"/>
                <w:sz w:val="19"/>
              </w:rPr>
              <w:t>Source</w:t>
            </w:r>
          </w:p>
        </w:tc>
        <w:tc>
          <w:tcPr>
            <w:tcW w:type="dxa" w:w="3389"/>
            <w:shd w:fill="1A2332"/>
            <w:vAlign w:val="center"/>
          </w:tcPr>
          <w:p>
            <w:pPr>
              <w:jc w:val="center"/>
            </w:pPr>
            <w:r/>
            <w:r>
              <w:rPr>
                <w:rFonts w:ascii="Avenir Next" w:hAnsi="Avenir Next"/>
                <w:b/>
                <w:color w:val="FFFFFF"/>
                <w:sz w:val="19"/>
              </w:rPr>
              <w:t>Use in case</w:t>
            </w:r>
          </w:p>
        </w:tc>
        <w:tc>
          <w:tcPr>
            <w:tcW w:type="dxa" w:w="3389"/>
            <w:shd w:fill="1A2332"/>
            <w:vAlign w:val="center"/>
          </w:tcPr>
          <w:p>
            <w:pPr>
              <w:jc w:val="center"/>
            </w:pPr>
            <w:r/>
            <w:r>
              <w:rPr>
                <w:rFonts w:ascii="Avenir Next" w:hAnsi="Avenir Next"/>
                <w:b/>
                <w:color w:val="FFFFFF"/>
                <w:sz w:val="19"/>
              </w:rPr>
              <w:t>Status</w:t>
            </w:r>
          </w:p>
        </w:tc>
      </w:tr>
      <w:tr>
        <w:tc>
          <w:tcPr>
            <w:tcW w:type="dxa" w:w="3389"/>
            <w:shd w:fill="F7FAFC"/>
            <w:vAlign w:val="center"/>
          </w:tcPr>
          <w:p>
            <w:pPr>
              <w:jc w:val="left"/>
            </w:pPr>
            <w:r/>
            <w:r>
              <w:rPr>
                <w:rFonts w:ascii="Avenir Next" w:hAnsi="Avenir Next"/>
                <w:b w:val="0"/>
                <w:color w:val="1A202C"/>
                <w:sz w:val="18"/>
              </w:rPr>
              <w:t>02_Market_Research_Report_AI_Productivity_Tools_Santiago_Garces.docx</w:t>
            </w:r>
          </w:p>
        </w:tc>
        <w:tc>
          <w:tcPr>
            <w:tcW w:type="dxa" w:w="3389"/>
            <w:shd w:fill="F7FAFC"/>
            <w:vAlign w:val="center"/>
          </w:tcPr>
          <w:p>
            <w:pPr>
              <w:jc w:val="left"/>
            </w:pPr>
            <w:r/>
            <w:r>
              <w:rPr>
                <w:rFonts w:ascii="Avenir Next" w:hAnsi="Avenir Next"/>
                <w:b w:val="0"/>
                <w:color w:val="1A202C"/>
                <w:sz w:val="18"/>
              </w:rPr>
              <w:t>Base market structure and white-space framing</w:t>
            </w:r>
          </w:p>
        </w:tc>
        <w:tc>
          <w:tcPr>
            <w:tcW w:type="dxa" w:w="3389"/>
            <w:shd w:fill="F7FAFC"/>
            <w:vAlign w:val="center"/>
          </w:tcPr>
          <w:p>
            <w:pPr>
              <w:jc w:val="left"/>
            </w:pPr>
            <w:r/>
            <w:r>
              <w:rPr>
                <w:rFonts w:ascii="Avenir Next" w:hAnsi="Avenir Next"/>
                <w:b w:val="0"/>
                <w:color w:val="1A202C"/>
                <w:sz w:val="18"/>
              </w:rPr>
              <w:t>Primary</w:t>
            </w:r>
          </w:p>
        </w:tc>
      </w:tr>
      <w:tr>
        <w:tc>
          <w:tcPr>
            <w:tcW w:type="dxa" w:w="3389"/>
            <w:vAlign w:val="center"/>
          </w:tcPr>
          <w:p>
            <w:pPr>
              <w:jc w:val="left"/>
            </w:pPr>
            <w:r/>
            <w:r>
              <w:rPr>
                <w:rFonts w:ascii="Avenir Next" w:hAnsi="Avenir Next"/>
                <w:b w:val="0"/>
                <w:color w:val="1A202C"/>
                <w:sz w:val="18"/>
              </w:rPr>
              <w:t>03_Competitive_Intelligence_Benchmarking_Santiago_Garces.docx</w:t>
            </w:r>
          </w:p>
        </w:tc>
        <w:tc>
          <w:tcPr>
            <w:tcW w:type="dxa" w:w="3389"/>
            <w:vAlign w:val="center"/>
          </w:tcPr>
          <w:p>
            <w:pPr>
              <w:jc w:val="left"/>
            </w:pPr>
            <w:r/>
            <w:r>
              <w:rPr>
                <w:rFonts w:ascii="Avenir Next" w:hAnsi="Avenir Next"/>
                <w:b w:val="0"/>
                <w:color w:val="1A202C"/>
                <w:sz w:val="18"/>
              </w:rPr>
              <w:t>Benchmark dimensions and clustering logic</w:t>
            </w:r>
          </w:p>
        </w:tc>
        <w:tc>
          <w:tcPr>
            <w:tcW w:type="dxa" w:w="3389"/>
            <w:vAlign w:val="center"/>
          </w:tcPr>
          <w:p>
            <w:pPr>
              <w:jc w:val="left"/>
            </w:pPr>
            <w:r/>
            <w:r>
              <w:rPr>
                <w:rFonts w:ascii="Avenir Next" w:hAnsi="Avenir Next"/>
                <w:b w:val="0"/>
                <w:color w:val="1A202C"/>
                <w:sz w:val="18"/>
              </w:rPr>
              <w:t>Primary</w:t>
            </w:r>
          </w:p>
        </w:tc>
      </w:tr>
      <w:tr>
        <w:tc>
          <w:tcPr>
            <w:tcW w:type="dxa" w:w="3389"/>
            <w:shd w:fill="F7FAFC"/>
            <w:vAlign w:val="center"/>
          </w:tcPr>
          <w:p>
            <w:pPr>
              <w:jc w:val="left"/>
            </w:pPr>
            <w:r/>
            <w:r>
              <w:rPr>
                <w:rFonts w:ascii="Avenir Next" w:hAnsi="Avenir Next"/>
                <w:b w:val="0"/>
                <w:color w:val="1A202C"/>
                <w:sz w:val="18"/>
              </w:rPr>
              <w:t>02_Market_Research_Report_MBB_Santiago_Garces.pptx</w:t>
            </w:r>
          </w:p>
        </w:tc>
        <w:tc>
          <w:tcPr>
            <w:tcW w:type="dxa" w:w="3389"/>
            <w:shd w:fill="F7FAFC"/>
            <w:vAlign w:val="center"/>
          </w:tcPr>
          <w:p>
            <w:pPr>
              <w:jc w:val="left"/>
            </w:pPr>
            <w:r/>
            <w:r>
              <w:rPr>
                <w:rFonts w:ascii="Avenir Next" w:hAnsi="Avenir Next"/>
                <w:b w:val="0"/>
                <w:color w:val="1A202C"/>
                <w:sz w:val="18"/>
              </w:rPr>
              <w:t>Story compression reference</w:t>
            </w:r>
          </w:p>
        </w:tc>
        <w:tc>
          <w:tcPr>
            <w:tcW w:type="dxa" w:w="3389"/>
            <w:shd w:fill="F7FAFC"/>
            <w:vAlign w:val="center"/>
          </w:tcPr>
          <w:p>
            <w:pPr>
              <w:jc w:val="left"/>
            </w:pPr>
            <w:r/>
            <w:r>
              <w:rPr>
                <w:rFonts w:ascii="Avenir Next" w:hAnsi="Avenir Next"/>
                <w:b w:val="0"/>
                <w:color w:val="1A202C"/>
                <w:sz w:val="18"/>
              </w:rPr>
              <w:t>Reference-only</w:t>
            </w:r>
          </w:p>
        </w:tc>
      </w:tr>
      <w:tr>
        <w:tc>
          <w:tcPr>
            <w:tcW w:type="dxa" w:w="3389"/>
            <w:vAlign w:val="center"/>
          </w:tcPr>
          <w:p>
            <w:pPr>
              <w:jc w:val="left"/>
            </w:pPr>
            <w:r/>
            <w:r>
              <w:rPr>
                <w:rFonts w:ascii="Avenir Next" w:hAnsi="Avenir Next"/>
                <w:b w:val="0"/>
                <w:color w:val="1A202C"/>
                <w:sz w:val="18"/>
              </w:rPr>
              <w:t>03_Competitive_Intelligence_Benchmarking_MBB_Santiago_Garces.pptx</w:t>
            </w:r>
          </w:p>
        </w:tc>
        <w:tc>
          <w:tcPr>
            <w:tcW w:type="dxa" w:w="3389"/>
            <w:vAlign w:val="center"/>
          </w:tcPr>
          <w:p>
            <w:pPr>
              <w:jc w:val="left"/>
            </w:pPr>
            <w:r/>
            <w:r>
              <w:rPr>
                <w:rFonts w:ascii="Avenir Next" w:hAnsi="Avenir Next"/>
                <w:b w:val="0"/>
                <w:color w:val="1A202C"/>
                <w:sz w:val="18"/>
              </w:rPr>
              <w:t>Benchmark-story reference</w:t>
            </w:r>
          </w:p>
        </w:tc>
        <w:tc>
          <w:tcPr>
            <w:tcW w:type="dxa" w:w="3389"/>
            <w:vAlign w:val="center"/>
          </w:tcPr>
          <w:p>
            <w:pPr>
              <w:jc w:val="left"/>
            </w:pPr>
            <w:r/>
            <w:r>
              <w:rPr>
                <w:rFonts w:ascii="Avenir Next" w:hAnsi="Avenir Next"/>
                <w:b w:val="0"/>
                <w:color w:val="1A202C"/>
                <w:sz w:val="18"/>
              </w:rPr>
              <w:t>Reference-only</w:t>
            </w:r>
          </w:p>
        </w:tc>
      </w:tr>
      <w:tr>
        <w:tc>
          <w:tcPr>
            <w:tcW w:type="dxa" w:w="3389"/>
            <w:shd w:fill="F7FAFC"/>
            <w:vAlign w:val="center"/>
          </w:tcPr>
          <w:p>
            <w:pPr>
              <w:jc w:val="left"/>
            </w:pPr>
            <w:r/>
            <w:r>
              <w:rPr>
                <w:rFonts w:ascii="Avenir Next" w:hAnsi="Avenir Next"/>
                <w:b w:val="0"/>
                <w:color w:val="1A202C"/>
                <w:sz w:val="18"/>
              </w:rPr>
              <w:t>doc2_investment_memo.pdf</w:t>
            </w:r>
          </w:p>
        </w:tc>
        <w:tc>
          <w:tcPr>
            <w:tcW w:type="dxa" w:w="3389"/>
            <w:shd w:fill="F7FAFC"/>
            <w:vAlign w:val="center"/>
          </w:tcPr>
          <w:p>
            <w:pPr>
              <w:jc w:val="left"/>
            </w:pPr>
            <w:r/>
            <w:r>
              <w:rPr>
                <w:rFonts w:ascii="Avenir Next" w:hAnsi="Avenir Next"/>
                <w:b w:val="0"/>
                <w:color w:val="1A202C"/>
                <w:sz w:val="18"/>
              </w:rPr>
              <w:t>Recommendation and risk structuring reference</w:t>
            </w:r>
          </w:p>
        </w:tc>
        <w:tc>
          <w:tcPr>
            <w:tcW w:type="dxa" w:w="3389"/>
            <w:shd w:fill="F7FAFC"/>
            <w:vAlign w:val="center"/>
          </w:tcPr>
          <w:p>
            <w:pPr>
              <w:jc w:val="left"/>
            </w:pPr>
            <w:r/>
            <w:r>
              <w:rPr>
                <w:rFonts w:ascii="Avenir Next" w:hAnsi="Avenir Next"/>
                <w:b w:val="0"/>
                <w:color w:val="1A202C"/>
                <w:sz w:val="18"/>
              </w:rPr>
              <w:t>Reference-only</w:t>
            </w:r>
          </w:p>
        </w:tc>
      </w:tr>
    </w:tbl>
    <w:p>
      <w:pPr>
        <w:spacing w:after="40"/>
        <w:jc w:val="left"/>
      </w:pPr>
      <w:r>
        <w:rPr>
          <w:rFonts w:ascii="Avenir Next" w:hAnsi="Avenir Next"/>
          <w:b w:val="0"/>
          <w:color w:val="1A202C"/>
          <w:sz w:val="21"/>
        </w:rPr>
      </w:r>
    </w:p>
    <w:p>
      <w:pPr>
        <w:pStyle w:val="Heading1"/>
        <w:spacing w:before="200" w:after="80"/>
      </w:pPr>
      <w:r>
        <w:t>Author and Contact</w:t>
      </w:r>
    </w:p>
    <w:p>
      <w:pPr>
        <w:spacing w:after="120"/>
        <w:jc w:val="left"/>
      </w:pPr>
      <w:r>
        <w:rPr>
          <w:rFonts w:ascii="Avenir Next" w:hAnsi="Avenir Next"/>
          <w:b w:val="0"/>
          <w:color w:val="1A202C"/>
          <w:sz w:val="21"/>
        </w:rPr>
        <w:t>Santiago Garces Chavarria turns fragmented market, regulatory, operational, and financial information into decision-ready outputs. His edge sits at the intersection of regulated operations, structured research, and AI-enabled workflow execution.</w:t>
      </w:r>
    </w:p>
    <w:p>
      <w:pPr>
        <w:spacing w:after="120"/>
        <w:jc w:val="left"/>
      </w:pPr>
      <w:r>
        <w:rPr>
          <w:rFonts w:ascii="Avenir Next" w:hAnsi="Avenir Next"/>
          <w:b/>
          <w:color w:val="2C5282"/>
          <w:sz w:val="21"/>
        </w:rPr>
        <w:t>For recruiter review or project discussion, email santiago.garces.blevine@gmail.com. Include the role or problem, timeline, and expected deliverable format.</w:t>
      </w:r>
    </w:p>
    <w:sectPr w:rsidR="00FC693F" w:rsidRPr="0006063C" w:rsidSect="00034616">
      <w:pgSz w:w="12240" w:h="15840"/>
      <w:pgMar w:top="1080"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venir Next" w:hAnsi="Avenir Next"/>
        <w:color w:val="4A5568"/>
        <w:sz w:val="16"/>
      </w:rPr>
      <w:t>Santiago Garces Chavarria | santiago.garces.blevine@gmail.com | Flagship Case 02 | Commercial Intelligence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w:hAnsi="Avenir Next"/>
      <w:color w:val="1A20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venir Next" w:hAnsi="Avenir Next"/>
      <w:b/>
      <w:bCs/>
      <w:color w:val="1A233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venir Next" w:hAnsi="Avenir Next"/>
      <w:b/>
      <w:bCs/>
      <w:color w:val="2C528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