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2fdc9a0a234827" /></Relationships>
</file>

<file path=word/document.xml><?xml version="1.0" encoding="utf-8"?>
<w:document xmlns:w="http://schemas.openxmlformats.org/wordprocessingml/2006/main">
  <w:body>
    <w:p>
      <w:pPr>
        <w:spacing w:before="3600"/>
      </w:pPr>
      <w:r/>
    </w:p>
    <w:p>
      <w:pPr>
        <w:jc w:val="left"/>
        <w:ind w:left="1200" w:right="1200"/>
        <w:spacing w:after="200"/>
      </w:pPr>
      <w:r>
        <w:rPr>
          <w:sz w:val="20"/>
          <w:color w:val="718096"/>
          <w:spacing w:val="60"/>
        </w:rPr>
        <w:t>Market Research  |  Competitive Intelligence  |  Pricing Analysis</w:t>
      </w:r>
    </w:p>
    <w:p>
      <w:pPr>
        <w:spacing w:before="600"/>
      </w:pPr>
      <w:r/>
    </w:p>
    <w:p>
      <w:pPr>
        <w:jc w:val="left"/>
        <w:ind w:left="1200" w:right="1200"/>
        <w:spacing w:after="300"/>
      </w:pPr>
      <w:r>
        <w:rPr>
          <w:sz w:val="56"/>
          <w:color w:val="1a2332"/>
          <w:b/>
          <w:spacing w:val="20"/>
        </w:rPr>
        <w:t>AI Productivity Tools: Competitive Landscape and Market Entry Strategy</w:t>
      </w:r>
    </w:p>
    <w:p>
      <w:pPr>
        <w:jc w:val="left"/>
        <w:ind w:left="1200" w:right="1200"/>
        <w:spacing w:after="3600"/>
      </w:pPr>
      <w:r>
        <w:rPr>
          <w:sz w:val="28"/>
          <w:color w:val="2c5282"/>
        </w:rPr>
        <w:t>Market Research Report</w:t>
      </w:r>
    </w:p>
    <w:p>
      <w:pPr>
        <w:ind w:left="1200"/>
      </w:pPr>
      <w:r>
        <w:rPr>
          <w:sz w:val="18"/>
          <w:color w:val="4a5568"/>
        </w:rPr>
        <w:t>Santiago Garces Chavarria  |  santiago.garces.blevine@gmail.com  |  Medellin, Colombia</w:t>
      </w:r>
    </w:p>
    <w:p>
      <w:pPr>
        <w:spacing w:before="400"/>
      </w:pPr>
      <w:r/>
    </w:p>
    <w:p>
      <w:pPr>
        <w:sectPr>
          <w:titlePg/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Executive Summary</w:t>
      </w:r>
    </w:p>
    <w:p>
      <w:r>
        <w:t>The AI productivity tool market has fragmented into three distinct competitive layers: incumbent platform extensions, focused challengers, and niche workflow-specific tools. Pricing ranges from $10/user/month to $100+/user/month. Three entry white spaces exist: vertical-specific tools for regulated industries, pricing-intelligent offerings for emerging markets, and integration-light standalone products for solo professionals.</w:t>
      </w:r>
    </w:p>
    <w:p>
      <w:pPr>
        <w:pBdr>
          <w:left w:val="single" w:color="2c5282" w:sz="18" w:space="8"/>
        </w:pBdr>
        <w:ind w:left="400"/>
        <w:spacing w:before="200" w:after="200"/>
      </w:pPr>
      <w:r>
        <w:rPr>
          <w:i/>
          <w:color w:val="4a5568"/>
        </w:rPr>
        <w:t>Work Type: Self-initiated research report based on publicly available data. Simulated decision-grade sample.</w:t>
      </w:r>
    </w:p>
    <w:p>
      <w:pPr>
        <w:pStyle w:val="Heading1"/>
      </w:pPr>
      <w:r>
        <w:t>1. Market Scope and Segmentation</w:t>
      </w:r>
    </w:p>
    <w:p>
      <w:pPr>
        <w:pStyle w:val="Heading2"/>
      </w:pPr>
      <w:r>
        <w:t>Platform Incumbents</w:t>
      </w:r>
    </w:p>
    <w:p>
      <w:r>
        <w:t>Notion AI, Microsoft 365 Copilot, Google Duet. Pricing: $10-30/user/month. Strategy: AI as feature, not product. Distribution advantage through existing user base.</w:t>
      </w:r>
    </w:p>
    <w:p>
      <w:pPr>
        <w:pStyle w:val="Heading2"/>
      </w:pPr>
      <w:r>
        <w:t>Focused Challengers</w:t>
      </w:r>
    </w:p>
    <w:p>
      <w:r>
        <w:t>Claude for Work, Jasper, Copy.ai. Pricing: $30-100/user/month. Strategy: AI-native workflows with specialized output. Direct sales and PLG distribution.</w:t>
      </w:r>
    </w:p>
    <w:p>
      <w:pPr>
        <w:pStyle w:val="Heading2"/>
      </w:pPr>
      <w:r>
        <w:t>Niche Specialists</w:t>
      </w:r>
    </w:p>
    <w:p>
      <w:r>
        <w:t>Otter.ai, Fireflies, Grammarly. Pricing: $8-40/user/month. Strategy: Single-use-case dominance. Organic growth through product-led acquisition.</w:t>
      </w:r>
    </w:p>
    <w:p>
      <w:pPr>
        <w:pStyle w:val="Heading1"/>
      </w:pPr>
      <w:r>
        <w:t>2. Methodology</w:t>
      </w:r>
    </w:p>
    <w:p>
      <w:r>
        <w:t>Secondary research combining pricing page analysis, feature comparison from product documentation, customer review sentiment from G2 and Capterra (n=500+ reviews), and funding/team data from Crunchbase and LinkedIn. Analysis period: Q1 2025.</w:t>
      </w:r>
    </w:p>
    <w:p>
      <w:pPr>
        <w:pStyle w:val="Heading1"/>
      </w:pPr>
      <w:r>
        <w:t>3. Competitive Pricing Analysis</w:t>
      </w:r>
    </w:p>
    <w:tbl>
      <w:tblPr>
        <w:tblW w:w="5000" w:type="pct"/>
        <w:tblBorders>
          <w:top w:val="single" w:color="2c5282" w:sz="8"/>
          <w:bottom w:val="single" w:color="2c5282" w:sz="8"/>
          <w:insideH w:val="single" w:color="e2e8f0" w:sz="4"/>
        </w:tblBorders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Tier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Price Range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Target User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Key Inclusions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Entry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$0-15/user/mo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Individual trial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Basic AI features, limited usage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Professional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$20-50/user/mo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Team collaboration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Shared workspaces, integrations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Enterprise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$50-150/user/mo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Custom deployments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Full compliance, dedicated support</w:t>
            </w:r>
          </w:p>
        </w:tc>
      </w:tr>
    </w:tbl>
    <w:p>
      <w:pPr>
        <w:pStyle w:val="Heading1"/>
      </w:pPr>
      <w:r>
        <w:t>4. Customer Segment Analysis</w:t>
      </w:r>
    </w:p>
    <w:tbl>
      <w:tblPr>
        <w:tblW w:w="5000" w:type="pct"/>
        <w:tblBorders>
          <w:top w:val="single" w:color="2c5282" w:sz="8"/>
          <w:bottom w:val="single" w:color="2c5282" w:sz="8"/>
          <w:insideH w:val="single" w:color="e2e8f0" w:sz="4"/>
        </w:tblBorders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Segment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Price Sensitivity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Key Needs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Churn Risk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Solo professionals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High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Feature-flexible, easy onboarding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High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SMB teams (10-100)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Moderate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Integration, collaboration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Medium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Enterprise (1000+)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Low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Compliance, security, admin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Low</w:t>
            </w:r>
          </w:p>
        </w:tc>
      </w:tr>
    </w:tbl>
    <w:p>
      <w:pPr>
        <w:pStyle w:val="Heading1"/>
      </w:pPr>
      <w:r>
        <w:t>5. Market Entry Recommendations</w:t>
      </w:r>
    </w:p>
    <w:p>
      <w:pPr>
        <w:numPr>
          <w:ilvl w:val="0"/>
          <w:numId w:val="1"/>
        </w:numPr>
      </w:pPr>
      <w:r>
        <w:t>Vertical Play: Build AI productivity tools for regulated industries with compliance-first positioning.</w:t>
      </w:r>
    </w:p>
    <w:p>
      <w:pPr>
        <w:numPr>
          <w:ilvl w:val="0"/>
          <w:numId w:val="1"/>
        </w:numPr>
      </w:pPr>
      <w:r>
        <w:t>Emerging Market Play: Price at $5-15/user/month for LATAM, Southeast Asia, and African markets.</w:t>
      </w:r>
    </w:p>
    <w:p>
      <w:pPr>
        <w:numPr>
          <w:ilvl w:val="0"/>
          <w:numId w:val="1"/>
        </w:numPr>
      </w:pPr>
      <w:r>
        <w:t>Solo Professional Premium: Target high-income solo operators willing to pay $40-60/month.</w:t>
      </w:r>
    </w:p>
    <w:p>
      <w:pPr>
        <w:pStyle w:val="Heading1"/>
      </w:pPr>
      <w:r>
        <w:t>6. Risk Factors</w:t>
      </w:r>
    </w:p>
    <w:p>
      <w:pPr>
        <w:spacing w:before="60" w:after="60"/>
        <w:ind w:left="360" w:hanging="360"/>
      </w:pPr>
      <w:r>
        <w:t>•  Incumbent platform bundling threatens standalone tool viability</w:t>
      </w:r>
    </w:p>
    <w:p>
      <w:pPr>
        <w:spacing w:before="60" w:after="60"/>
        <w:ind w:left="360" w:hanging="360"/>
      </w:pPr>
      <w:r>
        <w:t>•  LLM API cost volatility compresses margins for API-heavy products</w:t>
      </w:r>
    </w:p>
    <w:p>
      <w:pPr>
        <w:spacing w:before="60" w:after="60"/>
        <w:ind w:left="360" w:hanging="360"/>
      </w:pPr>
      <w:r>
        <w:t>•  Rapid commoditization of base features reduces differentiation</w:t>
      </w:r>
    </w:p>
    <w:p>
      <w:pPr>
        <w:spacing w:before="60" w:after="60"/>
        <w:ind w:left="360" w:hanging="360"/>
      </w:pPr>
      <w:r>
        <w:t>•  Customer acquisition cost inflation in saturated markets</w:t>
      </w:r>
    </w:p>
    <w:p>
      <w:pPr>
        <w:pStyle w:val="Heading1"/>
      </w:pPr>
      <w:r>
        <w:t>About the Author</w:t>
      </w:r>
    </w:p>
    <w:p>
      <w:r>
        <w:t>Santiago Garces Chavarria is an analytical operator specializing in market research, competitive intelligence, pricing logic, regulated-market analysis, and AI-enabled workflow execution. Based in Medellin, Colombia. Working worldwide. santiago.garces.blevine@gmail.com</w:t>
      </w:r>
    </w:p>
    <w:sectPr>
      <w:headerReference xmlns:r="http://schemas.openxmlformats.org/officeDocument/2006/relationships" w:type="default" r:id="R669a8431c3c44e64"/>
      <w:footerReference xmlns:r="http://schemas.openxmlformats.org/officeDocument/2006/relationships" w:type="default" r:id="R477ce525f0874932"/>
      <w:pgSz w:w="11906" w:h="16838"/>
      <w:pgMar w:top="180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718096"/>
      </w:rPr>
      <w:fldChar w:fldCharType="begin"/>
    </w:r>
    <w:r>
      <w:rPr>
        <w:sz w:val="16"/>
        <w:color w:val="718096"/>
      </w:rPr>
      <w:instrText xml:space="preserve"> PAGE </w:instrText>
    </w:r>
    <w:r>
      <w:rPr>
        <w:sz w:val="16"/>
        <w:color w:val="718096"/>
      </w:rPr>
      <w:fldChar w:fldCharType="separate"/>
    </w:r>
    <w:r>
      <w:rPr>
        <w:sz w:val="16"/>
        <w:color w:val="718096"/>
      </w:rPr>
      <w:t>1</w:t>
    </w:r>
    <w:r>
      <w:rPr>
        <w:sz w:val="16"/>
        <w:color w:val="71809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718096"/>
      </w:rPr>
      <w:t>Santiago Garces  |  Portfolio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300" w:lineRule="auto"/>
    </w:pPr>
    <w:rPr>
      <w:rFonts w:ascii="Calibri" w:hAnsi="Calibri"/>
      <w:sz w:val="22"/>
      <w:color w:val="1a202c"/>
    </w:rPr>
  </w:style>
  <w:style w:type="paragraph" w:styleId="Heading1">
    <w:name w:val="heading 1"/>
    <w:basedOn w:val="Normal"/>
    <w:pPr>
      <w:keepNext/>
      <w:keepLines/>
      <w:spacing w:before="480" w:after="200"/>
      <w:outlineLvl w:val="0"/>
    </w:pPr>
    <w:rPr>
      <w:b/>
      <w:sz w:val="36"/>
      <w:rFonts w:ascii="Calibri" w:hAnsi="Calibri"/>
      <w:color w:val="1a2332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sz w:val="28"/>
      <w:rFonts w:ascii="Calibri" w:hAnsi="Calibri"/>
      <w:color w:val="1a202c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sz w:val="24"/>
      <w:rFonts w:ascii="Calibri" w:hAnsi="Calibri"/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4b4bbbc12dd4eb3" /><Relationship Type="http://schemas.openxmlformats.org/officeDocument/2006/relationships/numbering" Target="/word/numbering.xml" Id="Rd34445c18f524e1f" /><Relationship Type="http://schemas.openxmlformats.org/officeDocument/2006/relationships/header" Target="/word/header1.xml" Id="R669a8431c3c44e64" /><Relationship Type="http://schemas.openxmlformats.org/officeDocument/2006/relationships/footer" Target="/word/footer1.xml" Id="R477ce525f0874932" /><Relationship Type="http://schemas.openxmlformats.org/officeDocument/2006/relationships/settings" Target="/word/settings.xml" Id="R3563e79f53374c40" /></Relationships>
</file>