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left"/>
      </w:pPr>
      <w:r>
        <w:rPr>
          <w:rFonts w:ascii="Arial" w:hAnsi="Arial"/>
          <w:b w:val="0"/>
          <w:i w:val="0"/>
          <w:color w:val="4A5568"/>
          <w:sz w:val="22"/>
        </w:rPr>
        <w:t>Santiago Garces Chavarria</w:t>
      </w:r>
    </w:p>
    <w:p>
      <w:pPr>
        <w:spacing w:after="120"/>
        <w:jc w:val="left"/>
      </w:pPr>
      <w:r>
        <w:rPr>
          <w:rFonts w:ascii="Arial" w:hAnsi="Arial"/>
          <w:b/>
          <w:i w:val="0"/>
          <w:color w:val="1A2332"/>
          <w:sz w:val="48"/>
        </w:rPr>
        <w:t>AI Productivity Tools: Market Research Report</w:t>
      </w:r>
    </w:p>
    <w:p>
      <w:pPr>
        <w:spacing w:after="320"/>
      </w:pPr>
      <w:r>
        <w:rPr>
          <w:rFonts w:ascii="Arial" w:hAnsi="Arial"/>
          <w:b w:val="0"/>
          <w:i w:val="0"/>
          <w:color w:val="2C5282"/>
          <w:sz w:val="24"/>
        </w:rPr>
        <w:t>Competitive landscape, pricing logic, and entry opportunities across twelve market players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7FAFC"/>
            <w:tcBorders>
              <w:left w:sz="6" w:val="single" w:color="E2E8F0"/>
              <w:top w:sz="6" w:val="single" w:color="E2E8F0"/>
              <w:right w:sz="6" w:val="single" w:color="E2E8F0"/>
              <w:bottom w:sz="6" w:val="single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2332"/>
                <w:sz w:val="19"/>
              </w:rPr>
              <w:t>Self-initiated decision-grade sample</w:t>
            </w:r>
          </w:p>
        </w:tc>
        <w:tc>
          <w:tcPr>
            <w:tcW w:type="dxa" w:w="3312"/>
            <w:shd w:fill="F7FAFC"/>
            <w:tcBorders>
              <w:left w:sz="6" w:val="single" w:color="E2E8F0"/>
              <w:top w:sz="6" w:val="single" w:color="E2E8F0"/>
              <w:right w:sz="6" w:val="single" w:color="E2E8F0"/>
              <w:bottom w:sz="6" w:val="single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2332"/>
                <w:sz w:val="19"/>
              </w:rPr>
              <w:t>Strategy teams | market research buyers | founders</w:t>
            </w:r>
          </w:p>
        </w:tc>
        <w:tc>
          <w:tcPr>
            <w:tcW w:type="dxa" w:w="3312"/>
            <w:shd w:fill="F7FAFC"/>
            <w:tcBorders>
              <w:left w:sz="6" w:val="single" w:color="E2E8F0"/>
              <w:top w:sz="6" w:val="single" w:color="E2E8F0"/>
              <w:right w:sz="6" w:val="single" w:color="E2E8F0"/>
              <w:bottom w:sz="6" w:val="single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2332"/>
                <w:sz w:val="19"/>
              </w:rPr>
              <w:t>Market Research Report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2332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SCOPE</w:t>
            </w:r>
          </w:p>
        </w:tc>
        <w:tc>
          <w:tcPr>
            <w:tcW w:type="dxa" w:w="4968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A2332"/>
                <w:sz w:val="23"/>
              </w:rPr>
              <w:t>12 competitors across 3 segments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9"/>
              </w:rPr>
              <w:t>Incumbents, challengers, and niche specialists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Executive Summary</w:t>
      </w:r>
    </w:p>
    <w:p>
      <w:pPr>
        <w:spacing w:after="120"/>
      </w:pPr>
      <w:r>
        <w:rPr>
          <w:rFonts w:ascii="Arial" w:hAnsi="Arial"/>
          <w:b w:val="0"/>
          <w:i w:val="0"/>
          <w:color w:val="1A202C"/>
          <w:sz w:val="21"/>
        </w:rPr>
        <w:t>The AI productivity market has split into three competitive layers: platform incumbents bundling AI into broader suites, focused challengers positioning around output quality, and niche specialists winning through workflow depth. Pricing spans from roughly $10 per user per month for light extensions to more than $100 per user per month for advanced enterprise use cases.</w:t>
      </w:r>
    </w:p>
    <w:p>
      <w:pPr>
        <w:spacing w:after="120"/>
      </w:pPr>
      <w:r>
        <w:rPr>
          <w:rFonts w:ascii="Arial" w:hAnsi="Arial"/>
          <w:b w:val="0"/>
          <w:i w:val="0"/>
          <w:color w:val="1A202C"/>
          <w:sz w:val="21"/>
        </w:rPr>
        <w:t>The analysis identifies three entry white spaces. First, regulated-industry workflows remain under-served. Second, emerging-market price architecture remains poorly localized. Third, high-income solo professionals remain open to premium tools when output quality clearly saves billable time.</w:t>
      </w:r>
    </w:p>
    <w:p>
      <w:pPr>
        <w:spacing w:after="120"/>
      </w:pPr>
      <w:r>
        <w:rPr>
          <w:rFonts w:ascii="Arial" w:hAnsi="Arial"/>
          <w:b w:val="0"/>
          <w:i w:val="0"/>
          <w:color w:val="1A202C"/>
          <w:sz w:val="21"/>
        </w:rPr>
        <w:t>A rational entry strategy is not to compete on general-purpose breadth. It is to win on narrower economic value, sharper positioning, and lower implementation friction.</w:t>
      </w:r>
    </w:p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Market Segmentation</w:t>
      </w:r>
    </w:p>
    <w:p>
      <w:pPr>
        <w:spacing w:after="120"/>
      </w:pPr>
      <w:r>
        <w:rPr>
          <w:rFonts w:ascii="Arial" w:hAnsi="Arial"/>
          <w:b w:val="0"/>
          <w:i w:val="0"/>
          <w:color w:val="1A202C"/>
          <w:sz w:val="21"/>
        </w:rPr>
        <w:t>Incumbents benefit from distribution and bundling. Challengers can still command a premium where output quality and workflow utility are demonstrably superior. Specialists preserve pricing power through use-case depth.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Platform incumbents: Notion AI, Microsoft Copilot, Google Workspace AI layers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Focused challengers: Claude for Work, Jasper, Copy.ai, AI-native assistants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Niche specialists: meeting intelligence, grammar, note capture, single-workflow tools</w:t>
      </w:r>
    </w:p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Illustrative Pricing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2332"/>
            <w:vAlign w:val="center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Segment</w:t>
            </w:r>
          </w:p>
        </w:tc>
        <w:tc>
          <w:tcPr>
            <w:tcW w:type="dxa" w:w="2484"/>
            <w:shd w:fill="1A2332"/>
            <w:vAlign w:val="center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Typical Price Range</w:t>
            </w:r>
          </w:p>
        </w:tc>
        <w:tc>
          <w:tcPr>
            <w:tcW w:type="dxa" w:w="2484"/>
            <w:shd w:fill="1A2332"/>
            <w:vAlign w:val="center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Primary Advantage</w:t>
            </w:r>
          </w:p>
        </w:tc>
        <w:tc>
          <w:tcPr>
            <w:tcW w:type="dxa" w:w="2484"/>
            <w:shd w:fill="1A2332"/>
            <w:vAlign w:val="center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Primary Weakness</w:t>
            </w:r>
          </w:p>
        </w:tc>
      </w:tr>
      <w:tr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Platform incumbents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$10–30 / user / month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Distribution and bundling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Weak differentiation</w:t>
            </w:r>
          </w:p>
        </w:tc>
      </w:tr>
      <w:tr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Focused challengers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$30–100+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Higher output quality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Higher CAC and substitution risk</w:t>
            </w:r>
          </w:p>
        </w:tc>
      </w:tr>
      <w:tr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Niche specialists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$8–40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Workflow depth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Category ceiling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What Buyers Actually Pay For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Output quality that reduces editing time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Integration depth with existing tools and storage layers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Collaboration features for teams rather than individuals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Admin controls, security, and compliance assurance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Use-case fit that makes the tool feel purpose-built</w:t>
      </w:r>
    </w:p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Entry White Spaces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Regulated-industry verticals: tools tuned for legal, financial-services, and healthcare workflows where accuracy, auditability, and policy control matter.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Emerging-market pricing: simpler packages between $5 and $15 per user per month with localized expectations around integrations and adoption.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Premium solo-operator tools: consultants, agency owners, and independent experts willing to pay for measurable output quality.</w:t>
      </w:r>
    </w:p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Strategic Recommendation</w:t>
      </w:r>
    </w:p>
    <w:p>
      <w:pPr>
        <w:spacing w:after="120"/>
      </w:pPr>
      <w:r>
        <w:rPr>
          <w:rFonts w:ascii="Arial" w:hAnsi="Arial"/>
          <w:b w:val="0"/>
          <w:i w:val="0"/>
          <w:color w:val="1A202C"/>
          <w:sz w:val="21"/>
        </w:rPr>
        <w:t>The recommended route is a compliance-first vertical play with integration-light deployment. This avoids direct confrontation with bundled incumbents and gives the product a sharper economic claim.</w:t>
      </w:r>
    </w:p>
    <w:p>
      <w:pPr>
        <w:spacing w:after="120"/>
      </w:pPr>
      <w:r>
        <w:rPr>
          <w:rFonts w:ascii="Arial" w:hAnsi="Arial"/>
          <w:b w:val="0"/>
          <w:i w:val="0"/>
          <w:color w:val="1A202C"/>
          <w:sz w:val="21"/>
        </w:rPr>
        <w:t>Commercially, the market rewards specificity. A broad horizontal narrative will be compared against bundled suites. A narrow value proposition tied to time saved, error reduced, or audit readiness has a stronger chance of sustaining price.</w:t>
      </w:r>
    </w:p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Risk Factors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Bundling by incumbents compresses standalone willingness to pay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Base features commoditize quickly as model access widens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API costs can erode contribution margins if product usage is poorly governed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English-first markets are increasingly saturated and expensive to acquire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4A5568"/>
        <w:sz w:val="17"/>
      </w:rPr>
      <w:t>Portfolio Sample  |  April 2026  |  Confidential for evaluation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4A5568"/>
        <w:sz w:val="17"/>
      </w:rPr>
      <w:t>SANTIAGO GARCES CHAVARRIA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