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rPr>
          <w:rFonts w:ascii="Arial" w:hAnsi="Arial"/>
          <w:b w:val="0"/>
          <w:i w:val="0"/>
          <w:color w:val="4A5568"/>
          <w:sz w:val="22"/>
        </w:rPr>
        <w:t>Santiago Garces Chavarria</w:t>
      </w:r>
    </w:p>
    <w:p>
      <w:pPr>
        <w:spacing w:after="120"/>
        <w:jc w:val="left"/>
      </w:pPr>
      <w:r>
        <w:rPr>
          <w:rFonts w:ascii="Arial" w:hAnsi="Arial"/>
          <w:b/>
          <w:i w:val="0"/>
          <w:color w:val="1A2332"/>
          <w:sz w:val="48"/>
        </w:rPr>
        <w:t>Competitive Intelligence Benchmarking Deck Companion</w:t>
      </w:r>
    </w:p>
    <w:p>
      <w:pPr>
        <w:spacing w:after="320"/>
      </w:pPr>
      <w:r>
        <w:rPr>
          <w:rFonts w:ascii="Arial" w:hAnsi="Arial"/>
          <w:b w:val="0"/>
          <w:i w:val="0"/>
          <w:color w:val="2C5282"/>
          <w:sz w:val="24"/>
        </w:rPr>
        <w:t>A document version of the comparison logic behind the AI productivity benchmark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Self-initiated analytical sample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Product strategy | GTM teams | competitive intelligence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Competitive Intelligence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2332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4968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A2332"/>
                <w:sz w:val="23"/>
              </w:rPr>
              <w:t>Decision support for positioning and packaging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4A5568"/>
                <w:sz w:val="19"/>
              </w:rPr>
              <w:t>Designed as a companion to the slide deck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Competitive intelligence is useful only when it reduces ambiguity around positioning. This benchmark organizes twelve AI productivity players against the dimensions that matter commercially: who they target, what they charge, what capabilities they emphasize, and where they are vulnerable.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The central pattern is that many players look differentiated at the feature level but cluster tightly at the buyer-value level. That creates white space not from inventing new features, but from combining existing capabilities into a clearer promise for a better-defined buyer.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Benchmark Framework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Customer segment served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Core workflow claim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Pricing and packaging logic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Compliance and security posture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Integration depth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Collaboration maturity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Evidence of enterprise readiness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Simplified Competitor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Player Type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Representative Names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Strength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Observed Gap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Incumbent suite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Microsoft, Google, Notion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Distribution and familiarity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Weak vertical specificity</w:t>
            </w:r>
          </w:p>
        </w:tc>
      </w:tr>
      <w:tr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AI-native challenger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Claude, Jasper, Copy.ai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Output quality narrative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Higher justification burden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Workflow specialist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Otter, Fireflies, Grammarly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Single-job dominance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Limited platform breadth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Key Strategic Patterns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Most tools over-index on features and under-articulate economic value.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Security and compliance language becomes decisive once the buyer moves beyond individual users.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Packages often mix collaboration, governance, and usage in ways that are hard for mid-market buyers to parse.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Enterprise promises are common; enterprise-ready operating detail is much rarer.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Positioning Implications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Anchor differentiation in the buyer's job-to-be-done, not in the model or feature list.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Simplify tier logic so the upgrade path maps to buyer maturity.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Use compliance and controllability as trust-building levers in regulated or sensitive workflows.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Avoid competing head-on with bundled suites unless the use case is structurally underserved.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How to Use This Benchmark in a Portfolio Context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As evidence of synthesis capability under fragmented data conditions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As proof of commercially relevant strategic framing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As a bridge between market research and pricing strategy work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As a discussion artifact in interviews and consulting conversations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A5568"/>
        <w:sz w:val="17"/>
      </w:rPr>
      <w:t>Portfolio Sample  |  April 2026  |  Confidential for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A5568"/>
        <w:sz w:val="17"/>
      </w:rPr>
      <w:t>SANTIAGO GARCES CHAVARRIA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