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venir Next" w:hAnsi="Avenir Next"/>
          <w:b/>
          <w:color w:val="2C5282"/>
          <w:sz w:val="19"/>
        </w:rPr>
        <w:t>COMPETITIVE INTELLIGENCE | BENCHMARKING | AI PRODUCTIVITY TOOLS</w:t>
      </w:r>
    </w:p>
    <w:p>
      <w:pPr>
        <w:spacing w:after="80"/>
        <w:jc w:val="left"/>
      </w:pPr>
      <w:r>
        <w:rPr>
          <w:rFonts w:ascii="Avenir Next" w:hAnsi="Avenir Next"/>
          <w:b/>
          <w:color w:val="1A2332"/>
          <w:sz w:val="48"/>
        </w:rPr>
        <w:t>Competitive Benchmarking: AI Productivity Tools, Pricing Architecture, and Strategic White Space</w:t>
      </w:r>
    </w:p>
    <w:p>
      <w:pPr>
        <w:spacing w:after="80"/>
        <w:jc w:val="left"/>
      </w:pPr>
      <w:r>
        <w:rPr>
          <w:rFonts w:ascii="Avenir Next" w:hAnsi="Avenir Next"/>
          <w:b/>
          <w:color w:val="3182CE"/>
          <w:sz w:val="24"/>
        </w:rPr>
        <w:t>Benchmarking Study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4A5568"/>
          <w:sz w:val="19"/>
        </w:rPr>
        <w:t>Santiago Garces Chavarria | santiago.garces.blevine@gmail.com | Medellin, Colombia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C528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SELF-INITIATED</w:t>
            </w:r>
          </w:p>
        </w:tc>
        <w:tc>
          <w:tcPr>
            <w:tcW w:type="dxa" w:w="508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9"/>
              </w:rPr>
              <w:t>Self-initiated benchmarking study built from public pricing pages, product documentation, and review-platform signals. Simulated decision-grade sample.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9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vendors benchmarked directly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4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scoring dimensions</w:t>
            </w:r>
          </w:p>
        </w:tc>
      </w:tr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commercial archetypes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strategic plays identified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Executive Summary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1A202C"/>
          <w:sz w:val="21"/>
        </w:rPr>
        <w:t>This benchmarking study reframes the AI productivity market from a competitor list into a comparison system. Vendors were evaluated across output quality, workflow depth, collaboration design, and compliance readiness. The comparison shows a clear pattern: incumbents lead in distribution, challengers lead in workflow-specific value, and specialists lead in habit-forming single-use-case depth. The white space sits where compliance needs, workflow depth, and pricing discipline are not being served at the same time.</w:t>
      </w:r>
    </w:p>
    <w:p>
      <w:pPr>
        <w:sectPr>
          <w:footerReference w:type="default" r:id="rId9"/>
          <w:pgSz w:w="12240" w:h="15840"/>
          <w:pgMar w:top="1080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t>Business Question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Where do AI productivity vendors truly differentiate once product claims are normalized into a common comparison framework?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This study is useful when a founder, investor, or strategy team needs a clear view of competitive patterns, not just a long market list.</w:t>
      </w:r>
    </w:p>
    <w:p>
      <w:pPr>
        <w:pStyle w:val="Heading1"/>
        <w:spacing w:before="200" w:after="80"/>
      </w:pPr>
      <w:r>
        <w:t>Benchmarking Framework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comparison framework uses four dimensions that matter commercially: output quality, workflow depth, collaboration design, and compliance readiness.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vendor set includes platform incumbents, focused challengers, and narrow workflow specialists so the benchmark shows structural patterns rather than isolated examples.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Platform incumbents: Notion AI, Microsoft 365 Copilot, Google Duet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Focused challengers: Claude for Work, Jasper, Copy.ai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Workflow specialists: Grammarly, Otter.ai, Fireflies</w:t>
      </w:r>
    </w:p>
    <w:p>
      <w:pPr>
        <w:pStyle w:val="Heading1"/>
        <w:spacing w:before="200" w:after="80"/>
      </w:pPr>
      <w:r>
        <w:t>Pricing and Packaging Patterns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Pricing architecture reveals how vendors think about value capture. Incumbents price low because AI is bundled into a broader suite. Challengers price higher because they monetize workflow advantage and visible output quality. Specialists price in the middle when they own a narrow habit strongly.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Commercial archetypes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Archetype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Typical price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Winning mechanism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Primary weakness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Platform incumbent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$10-30/user/mo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Distribution and bundle economics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Generic workflow fit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Focused challenger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$30-100/user/mo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AI-native workflow value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Higher switching friction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Workflow specialist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$8-40/user/mo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Single-use-case depth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Narrow expansion potential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Feature Scorecard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scorecard makes the trade-offs visible. No vendor leads every dimension. The practical question is which dimensions matter most for the target segment.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Illustrative scorecard (1 = weak, 5 = strong)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Vendor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Output quality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Workflow depth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Collaboration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Compliance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Notion AI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Microsoft 365 Copilot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Claude for Work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Jasper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Grammarly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Fireflies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White Space Logic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most credible white spaces are not empty markets. They are under-served intersections where buyers care about more than one dimension at once.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Strategic white spaces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White space</w:t>
            </w:r>
          </w:p>
        </w:tc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Why under-served</w:t>
            </w:r>
          </w:p>
        </w:tc>
        <w:tc>
          <w:tcPr>
            <w:tcW w:type="dxa" w:w="3389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Commercial angle</w:t>
            </w:r>
          </w:p>
        </w:tc>
      </w:tr>
      <w:tr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Compliance-first teams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Broad tools are weak on regulated workflow nuance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Sell confidence and reviewability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Emerging-market operators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Global pricing ignores local buying power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Use local pricing discipline and lean integrations</w:t>
            </w:r>
          </w:p>
        </w:tc>
      </w:tr>
      <w:tr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Premium solo operators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Bundled tools optimize breadth over output quality</w:t>
            </w:r>
          </w:p>
        </w:tc>
        <w:tc>
          <w:tcPr>
            <w:tcW w:type="dxa" w:w="3389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Sell time protection and high-quality output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Strategic Implications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Benchmarking is most useful when it leads to action. The output here is a set of plays, not a static comparison file.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Do not attack incumbents on breadth. Attack them where workflow precision matters more than bundle convenience.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Treat pricing as positioning logic, not a revenue afterthought.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Use comparison systems to define what to exclude from the product, not only what to include.</w:t>
      </w:r>
    </w:p>
    <w:p>
      <w:pPr>
        <w:pStyle w:val="Heading1"/>
        <w:spacing w:before="200" w:after="80"/>
      </w:pPr>
      <w:r>
        <w:t>Author and 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 Garces Chavarria is an analytical operator who turns fragmented market, regulatory, financial, and operational information into clear recommendations, structured deliverables, and decision-ready outputs. Based in Medellin, Colombia. Working worldwide.</w:t>
      </w:r>
    </w:p>
    <w:p>
      <w:pPr>
        <w:spacing w:after="120"/>
        <w:jc w:val="left"/>
      </w:pPr>
      <w:r>
        <w:rPr>
          <w:rFonts w:ascii="Avenir Next" w:hAnsi="Avenir Next"/>
          <w:b/>
          <w:color w:val="2C5282"/>
          <w:sz w:val="21"/>
        </w:rPr>
        <w:t>For portfolio reviews or project discussions, email santiago.garces.blevine@gmail.com. Include the role or project type, timeline, and expected deliverable format.</w:t>
      </w:r>
    </w:p>
    <w:sectPr w:rsidR="00FC693F" w:rsidRPr="0006063C" w:rsidSect="00034616"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 Next" w:hAnsi="Avenir Next"/>
        <w:color w:val="4A5568"/>
        <w:sz w:val="16"/>
      </w:rPr>
      <w:t>Santiago Garces Chavarria | santiago.garces.blevine@gmail.com | Benchmarking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1A23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