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abb5398e95479e" /></Relationships>
</file>

<file path=word/document.xml><?xml version="1.0" encoding="utf-8"?>
<w:document xmlns:w="http://schemas.openxmlformats.org/wordprocessingml/2006/main">
  <w:body>
    <w:p>
      <w:pPr>
        <w:spacing w:before="3600"/>
      </w:pPr>
      <w:r/>
    </w:p>
    <w:p>
      <w:pPr>
        <w:jc w:val="left"/>
        <w:ind w:left="1200" w:right="1200"/>
        <w:spacing w:after="200"/>
      </w:pPr>
      <w:r>
        <w:rPr>
          <w:sz w:val="20"/>
          <w:color w:val="718096"/>
          <w:spacing w:val="60"/>
        </w:rPr>
        <w:t>Pricing Strategy  |  B2B SaaS  |  Value-Based Monetization</w:t>
      </w:r>
    </w:p>
    <w:p>
      <w:pPr>
        <w:spacing w:before="600"/>
      </w:pPr>
      <w:r/>
    </w:p>
    <w:p>
      <w:pPr>
        <w:jc w:val="left"/>
        <w:ind w:left="1200" w:right="1200"/>
        <w:spacing w:after="300"/>
      </w:pPr>
      <w:r>
        <w:rPr>
          <w:sz w:val="56"/>
          <w:color w:val="1a2332"/>
          <w:b/>
          <w:spacing w:val="20"/>
        </w:rPr>
        <w:t>Pricing Strategy: Value Drivers, Segmentation, and Tier Design for B2B SaaS</w:t>
      </w:r>
    </w:p>
    <w:p>
      <w:pPr>
        <w:jc w:val="left"/>
        <w:ind w:left="1200" w:right="1200"/>
        <w:spacing w:after="3600"/>
      </w:pPr>
      <w:r>
        <w:rPr>
          <w:sz w:val="28"/>
          <w:color w:val="2c5282"/>
        </w:rPr>
        <w:t>Strategy Memo</w:t>
      </w:r>
    </w:p>
    <w:p>
      <w:pPr>
        <w:ind w:left="1200"/>
      </w:pPr>
      <w:r>
        <w:rPr>
          <w:sz w:val="18"/>
          <w:color w:val="4a5568"/>
        </w:rPr>
        <w:t>Santiago Garces Chavarria  |  santiago.garces.blevine@gmail.com  |  Medellin, Colombia</w:t>
      </w:r>
    </w:p>
    <w:p>
      <w:pPr>
        <w:spacing w:before="400"/>
      </w:pPr>
      <w:r/>
    </w:p>
    <w:p>
      <w:pPr>
        <w:sectPr>
          <w:titlePg/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Executive Summary</w:t>
      </w:r>
    </w:p>
    <w:p>
      <w:r>
        <w:t>This memo recommends a three-tier pricing architecture for a B2B workflow SaaS product targeting mid-market professional services firms. Recommended pricing: Starter at $49/month for teams of 1-5; Professional at $149/month for teams of 6-25; Business at $399/month for teams of 26-100.</w:t>
      </w:r>
    </w:p>
    <w:p>
      <w:pPr>
        <w:pBdr>
          <w:left w:val="single" w:color="2c5282" w:sz="18" w:space="8"/>
        </w:pBdr>
        <w:ind w:left="400"/>
        <w:spacing w:before="200" w:after="200"/>
      </w:pPr>
      <w:r>
        <w:rPr>
          <w:i/>
          <w:color w:val="4a5568"/>
        </w:rPr>
        <w:t>Work Type: Self-initiated strategy memo. Simulated decision-grade sample based on real pricing research methodology.</w:t>
      </w:r>
    </w:p>
    <w:p>
      <w:pPr>
        <w:pStyle w:val="Heading1"/>
      </w:pPr>
      <w:r>
        <w:t>1. Business Context</w:t>
      </w:r>
    </w:p>
    <w:p>
      <w:r>
        <w:t>The product is a workflow automation and document management platform for professional services firms. Current state: single tier at $99/month, 340 active customers, 4.2% monthly churn, 12% free-to-paid conversion.</w:t>
      </w:r>
    </w:p>
    <w:p>
      <w:pPr>
        <w:pStyle w:val="Heading1"/>
      </w:pPr>
      <w:r>
        <w:t>2. Value Driver Analysis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Rank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Value Driver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WTP Impact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Customer Evidence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Time saved on document processing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Highest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8-12 hours saved weekly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2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Integration with existing tools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High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Native CRM, accounting connectors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3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Team collaboration features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Medium-High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Shared workspaces, approval workflows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4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Compliance and audit trail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Medium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Version history, access logs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5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Support response time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Low-Medium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Priority support</w:t>
            </w:r>
          </w:p>
        </w:tc>
      </w:tr>
    </w:tbl>
    <w:p>
      <w:pPr>
        <w:pStyle w:val="Heading1"/>
      </w:pPr>
      <w:r>
        <w:t>3. Customer Segmentation</w:t>
      </w:r>
    </w:p>
    <w:p>
      <w:pPr>
        <w:pStyle w:val="Heading2"/>
      </w:pPr>
      <w:r>
        <w:t>Small Practices (1-5 users)</w:t>
      </w:r>
    </w:p>
    <w:p>
      <w:r>
        <w:t>High usage intensity per user, price-sensitive, need core workflow only. Willing to pay $40-60/month total.</w:t>
      </w:r>
    </w:p>
    <w:p>
      <w:pPr>
        <w:pStyle w:val="Heading2"/>
      </w:pPr>
      <w:r>
        <w:t>Growing Firms (6-25 users)</w:t>
      </w:r>
    </w:p>
    <w:p>
      <w:r>
        <w:t>Moderate usage per user, need collaboration and integrations. Willing to pay $120-180/month.</w:t>
      </w:r>
    </w:p>
    <w:p>
      <w:pPr>
        <w:pStyle w:val="Heading2"/>
      </w:pPr>
      <w:r>
        <w:t>Established Operations (26-100 users)</w:t>
      </w:r>
    </w:p>
    <w:p>
      <w:r>
        <w:t>Variable usage, need compliance, admin controls, custom integrations. Willing to pay $300-500/month.</w:t>
      </w:r>
    </w:p>
    <w:p>
      <w:pPr>
        <w:pStyle w:val="Heading1"/>
      </w:pPr>
      <w:r>
        <w:t>4. Recommended Tier Architecture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Tier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Price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Target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Key Features</w:t>
            </w:r>
          </w:p>
        </w:tc>
        <w:tc>
          <w:tcPr>
            <w:tcW w:w="20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Value Proposition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Starter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$49/month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1-5 users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Core workflow, 2 integrations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Replace manual processes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Professional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$149/month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6-25 users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All integrations, collaboration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Team productivity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Business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$399/month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26-100 users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Custom integrations, compliance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Operational scale</w:t>
            </w:r>
          </w:p>
        </w:tc>
      </w:tr>
    </w:tbl>
    <w:p>
      <w:pPr>
        <w:pStyle w:val="Heading1"/>
      </w:pPr>
      <w:r>
        <w:t>5. Pricing Psychology and Packaging</w:t>
      </w:r>
    </w:p>
    <w:p>
      <w:pPr>
        <w:spacing w:before="60" w:after="60"/>
        <w:ind w:left="360" w:hanging="360"/>
      </w:pPr>
      <w:r>
        <w:t>•  Annual billing default with monthly option at 20% premium</w:t>
      </w:r>
    </w:p>
    <w:p>
      <w:pPr>
        <w:spacing w:before="60" w:after="60"/>
        <w:ind w:left="360" w:hanging="360"/>
      </w:pPr>
      <w:r>
        <w:t>•  Per-seat pricing within tiers to align cost with team size</w:t>
      </w:r>
    </w:p>
    <w:p>
      <w:pPr>
        <w:spacing w:before="60" w:after="60"/>
        <w:ind w:left="360" w:hanging="360"/>
      </w:pPr>
      <w:r>
        <w:t>•  21-day free trial for Professional and Business tiers</w:t>
      </w:r>
    </w:p>
    <w:p>
      <w:pPr>
        <w:spacing w:before="60" w:after="60"/>
        <w:ind w:left="360" w:hanging="360"/>
      </w:pPr>
      <w:r>
        <w:t>•  API access add-on at $99/month for Starter customers</w:t>
      </w:r>
    </w:p>
    <w:p>
      <w:pPr>
        <w:pStyle w:val="Heading1"/>
      </w:pPr>
      <w:r>
        <w:t>6. Validation Plan</w:t>
      </w:r>
    </w:p>
    <w:p>
      <w:pPr>
        <w:numPr>
          <w:ilvl w:val="0"/>
          <w:numId w:val="1"/>
        </w:numPr>
      </w:pPr>
      <w:r>
        <w:t>Price Sensitivity Survey: Van Westendorp to 200 free-tier users</w:t>
      </w:r>
    </w:p>
    <w:p>
      <w:pPr>
        <w:numPr>
          <w:ilvl w:val="0"/>
          <w:numId w:val="1"/>
        </w:numPr>
      </w:pPr>
      <w:r>
        <w:t>A/B Test: New pricing page to 50% of traffic for 2 weeks</w:t>
      </w:r>
    </w:p>
    <w:p>
      <w:pPr>
        <w:numPr>
          <w:ilvl w:val="0"/>
          <w:numId w:val="1"/>
        </w:numPr>
      </w:pPr>
      <w:r>
        <w:t>Cohort Test: Offer new tiers to 20 high-usage customers</w:t>
      </w:r>
    </w:p>
    <w:p>
      <w:pPr>
        <w:numPr>
          <w:ilvl w:val="0"/>
          <w:numId w:val="1"/>
        </w:numPr>
      </w:pPr>
      <w:r>
        <w:t>Sales Call Validation: Pricing discussion in 10 enterprise calls</w:t>
      </w:r>
    </w:p>
    <w:p>
      <w:pPr>
        <w:pStyle w:val="Heading1"/>
      </w:pPr>
      <w:r>
        <w:t>7. Expected Impact</w:t>
      </w:r>
    </w:p>
    <w:tbl>
      <w:tblPr>
        <w:tblW w:w="5000" w:type="pct"/>
        <w:tblBorders>
          <w:top w:val="single" w:color="2c5282" w:sz="8"/>
          <w:bottom w:val="single" w:color="2c5282" w:sz="8"/>
          <w:insideH w:val="single" w:color="e2e8f0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Metric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Current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Projected (6mo)</w:t>
            </w:r>
          </w:p>
        </w:tc>
        <w:tc>
          <w:tcPr>
            <w:tcW w:w="2500" w:type="dxa"/>
            <w:shd w:val="clear" w:fill="edf2f7"/>
          </w:tcPr>
          <w:p>
            <w:pPr>
              <w:jc w:val="center"/>
              <w:spacing w:before="60" w:after="60"/>
            </w:pPr>
            <w:r>
              <w:rPr>
                <w:b/>
                <w:sz w:val="18"/>
                <w:color w:val="1a202c"/>
              </w:rPr>
              <w:t>Delta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ARPU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$99/month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$135-145/month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+35-45%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Monthly churn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4.2%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3.5%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-0.7pp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Sales cycle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45 days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30 days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-33%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Expansion revenue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5% of MRR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18% of MRR</w:t>
            </w:r>
          </w:p>
        </w:tc>
        <w:tc>
          <w:tcPr>
            <w:tcW w:w="2500" w:type="dxa"/>
          </w:tcPr>
          <w:p>
            <w:pPr>
              <w:spacing w:before="40" w:after="40"/>
            </w:pPr>
            <w:r>
              <w:rPr>
                <w:sz w:val="18"/>
                <w:color w:val="4a5568"/>
              </w:rPr>
              <w:t xml:space="preserve">+13pp</w:t>
            </w:r>
          </w:p>
        </w:tc>
      </w:tr>
    </w:tbl>
    <w:p>
      <w:pPr>
        <w:pStyle w:val="Heading1"/>
      </w:pPr>
      <w:r>
        <w:t>About the Author</w:t>
      </w:r>
    </w:p>
    <w:p>
      <w:r>
        <w:t>Santiago Garces Chavarria is an analytical operator specializing in market research, competitive intelligence, pricing logic, regulated-market analysis, and AI-enabled workflow execution. Based in Medellin, Colombia. Working worldwide. santiago.garces.blevine@gmail.com</w:t>
      </w:r>
    </w:p>
    <w:sectPr>
      <w:headerReference xmlns:r="http://schemas.openxmlformats.org/officeDocument/2006/relationships" w:type="default" r:id="Rd22dc336d4a24190"/>
      <w:footerReference xmlns:r="http://schemas.openxmlformats.org/officeDocument/2006/relationships" w:type="default" r:id="R17f782ece11e4ac1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718096"/>
      </w:rPr>
      <w:fldChar w:fldCharType="begin"/>
    </w:r>
    <w:r>
      <w:rPr>
        <w:sz w:val="16"/>
        <w:color w:val="718096"/>
      </w:rPr>
      <w:instrText xml:space="preserve"> PAGE </w:instrText>
    </w:r>
    <w:r>
      <w:rPr>
        <w:sz w:val="16"/>
        <w:color w:val="718096"/>
      </w:rPr>
      <w:fldChar w:fldCharType="separate"/>
    </w:r>
    <w:r>
      <w:rPr>
        <w:sz w:val="16"/>
        <w:color w:val="718096"/>
      </w:rPr>
      <w:t>1</w:t>
    </w:r>
    <w:r>
      <w:rPr>
        <w:sz w:val="16"/>
        <w:color w:val="71809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718096"/>
      </w:rPr>
      <w:t>Santiago Garces  |  Portfolio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sz w:val="22"/>
      <w:color w:val="1a202c"/>
    </w:rPr>
  </w:style>
  <w:style w:type="paragraph" w:styleId="Heading1">
    <w:name w:val="heading 1"/>
    <w:basedOn w:val="Normal"/>
    <w:pPr>
      <w:keepNext/>
      <w:keepLines/>
      <w:spacing w:before="480" w:after="200"/>
      <w:outlineLvl w:val="0"/>
    </w:pPr>
    <w:rPr>
      <w:b/>
      <w:sz w:val="36"/>
      <w:rFonts w:ascii="Calibri" w:hAnsi="Calibri"/>
      <w:color w:val="1a2332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sz w:val="28"/>
      <w:rFonts w:ascii="Calibri" w:hAnsi="Calibri"/>
      <w:color w:val="1a202c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sz w:val="24"/>
      <w:rFonts w:ascii="Calibri" w:hAnsi="Calibri"/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eea53f90aa4319" /><Relationship Type="http://schemas.openxmlformats.org/officeDocument/2006/relationships/numbering" Target="/word/numbering.xml" Id="Rf08ee9349dac46c7" /><Relationship Type="http://schemas.openxmlformats.org/officeDocument/2006/relationships/header" Target="/word/header1.xml" Id="Rd22dc336d4a24190" /><Relationship Type="http://schemas.openxmlformats.org/officeDocument/2006/relationships/footer" Target="/word/footer1.xml" Id="R17f782ece11e4ac1" /><Relationship Type="http://schemas.openxmlformats.org/officeDocument/2006/relationships/settings" Target="/word/settings.xml" Id="Rf71a59e8965947b8" /></Relationships>
</file>