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venir Next" w:hAnsi="Avenir Next"/>
          <w:b/>
          <w:color w:val="2C5282"/>
          <w:sz w:val="19"/>
        </w:rPr>
        <w:t>PRICING STRATEGY | MONETIZATION | AI PRODUCTIVITY WORKFLOWS</w:t>
      </w:r>
    </w:p>
    <w:p>
      <w:pPr>
        <w:spacing w:after="80"/>
        <w:jc w:val="left"/>
      </w:pPr>
      <w:r>
        <w:rPr>
          <w:rFonts w:ascii="Avenir Next" w:hAnsi="Avenir Next"/>
          <w:b/>
          <w:color w:val="1A2332"/>
          <w:sz w:val="48"/>
        </w:rPr>
        <w:t>Pricing and Monetization Strategy for an AI Productivity Workflow Platform</w:t>
      </w:r>
    </w:p>
    <w:p>
      <w:pPr>
        <w:spacing w:after="80"/>
        <w:jc w:val="left"/>
      </w:pPr>
      <w:r>
        <w:rPr>
          <w:rFonts w:ascii="Avenir Next" w:hAnsi="Avenir Next"/>
          <w:b/>
          <w:color w:val="3182CE"/>
          <w:sz w:val="24"/>
        </w:rPr>
        <w:t>Flagship Case 03 | Pricing and Monetization</w:t>
      </w:r>
    </w:p>
    <w:p>
      <w:pPr>
        <w:spacing w:after="160"/>
        <w:jc w:val="left"/>
      </w:pPr>
      <w:r>
        <w:rPr>
          <w:rFonts w:ascii="Avenir Next" w:hAnsi="Avenir Next"/>
          <w:b w:val="0"/>
          <w:color w:val="4A5568"/>
          <w:sz w:val="19"/>
        </w:rPr>
        <w:t>Santiago Garces Chavarria | santiago.garces.blevine@gmail.com | Medellin, Colombia</w:t>
      </w:r>
    </w:p>
    <w:tbl>
      <w:tblPr>
        <w:tblW w:type="auto" w:w="0"/>
        <w:jc w:val="left"/>
        <w:tblLayout w:type="autofit"/>
        <w:tblLook w:firstColumn="1" w:firstRow="1" w:lastColumn="0" w:lastRow="0" w:noHBand="0" w:noVBand="1" w:val="04A0"/>
      </w:tblPr>
      <w:tblGrid>
        <w:gridCol w:w="5083"/>
        <w:gridCol w:w="5083"/>
      </w:tblGrid>
      <w:tr>
        <w:tc>
          <w:tcPr>
            <w:tcW w:type="dxa" w:w="5083"/>
            <w:shd w:fill="2C5282"/>
            <w:vAlign w:val="center"/>
          </w:tcPr>
          <w:p>
            <w:pPr>
              <w:jc w:val="center"/>
            </w:pPr>
            <w:r/>
            <w:r>
              <w:rPr>
                <w:rFonts w:ascii="Avenir Next" w:hAnsi="Avenir Next"/>
                <w:b/>
                <w:color w:val="FFFFFF"/>
                <w:sz w:val="19"/>
              </w:rPr>
              <w:t>SELF-INITIATED DECISION SAMPLE</w:t>
            </w:r>
          </w:p>
        </w:tc>
        <w:tc>
          <w:tcPr>
            <w:tcW w:type="dxa" w:w="5083"/>
            <w:shd w:fill="F7FAFC"/>
            <w:vAlign w:val="center"/>
          </w:tcPr>
          <w:p>
            <w:pPr>
              <w:jc w:val="left"/>
            </w:pPr>
            <w:r/>
            <w:r>
              <w:rPr>
                <w:rFonts w:ascii="Avenir Next" w:hAnsi="Avenir Next"/>
                <w:b w:val="0"/>
                <w:color w:val="1A202C"/>
                <w:sz w:val="19"/>
              </w:rPr>
              <w:t>Built as a pricing case that deliberately uses the same market logic and buyer segmentation from Flagship Case 02.</w:t>
            </w:r>
          </w:p>
        </w:tc>
      </w:tr>
    </w:tbl>
    <w:p>
      <w:pPr>
        <w:spacing w:after="40"/>
        <w:jc w:val="left"/>
      </w:pPr>
      <w:r>
        <w:rPr>
          <w:rFonts w:ascii="Avenir Next" w:hAnsi="Avenir Next"/>
          <w:b w:val="0"/>
          <w:color w:val="1A202C"/>
          <w:sz w:val="21"/>
        </w:rPr>
      </w:r>
    </w:p>
    <w:tbl>
      <w:tblPr>
        <w:tblW w:type="auto" w:w="0"/>
        <w:jc w:val="left"/>
        <w:tblLayout w:type="autofit"/>
        <w:tblLook w:firstColumn="1" w:firstRow="1" w:lastColumn="0" w:lastRow="0" w:noHBand="0" w:noVBand="1" w:val="04A0"/>
      </w:tblPr>
      <w:tblGrid>
        <w:gridCol w:w="5083"/>
        <w:gridCol w:w="5083"/>
      </w:tblGrid>
      <w:tr>
        <w:tc>
          <w:tcPr>
            <w:tcW w:type="dxa" w:w="5083"/>
            <w:shd w:fill="F7FAFC"/>
          </w:tcPr>
          <w:p>
            <w:pPr>
              <w:jc w:val="left"/>
            </w:pPr>
            <w:r/>
            <w:r>
              <w:rPr>
                <w:rFonts w:ascii="Avenir Next" w:hAnsi="Avenir Next"/>
                <w:b/>
                <w:color w:val="1A2332"/>
                <w:sz w:val="30"/>
              </w:rPr>
              <w:t>$49 / $149 / $399</w:t>
            </w:r>
          </w:p>
          <w:p>
            <w:pPr>
              <w:spacing w:before="40"/>
            </w:pPr>
            <w:r>
              <w:rPr>
                <w:rFonts w:ascii="Avenir Next" w:hAnsi="Avenir Next"/>
                <w:color w:val="4A5568"/>
                <w:sz w:val="18"/>
              </w:rPr>
              <w:t>proposed price ladder</w:t>
            </w:r>
          </w:p>
        </w:tc>
        <w:tc>
          <w:tcPr>
            <w:tcW w:type="dxa" w:w="5083"/>
            <w:shd w:fill="F7FAFC"/>
          </w:tcPr>
          <w:p>
            <w:pPr>
              <w:jc w:val="left"/>
            </w:pPr>
            <w:r/>
            <w:r>
              <w:rPr>
                <w:rFonts w:ascii="Avenir Next" w:hAnsi="Avenir Next"/>
                <w:b/>
                <w:color w:val="1A2332"/>
                <w:sz w:val="30"/>
              </w:rPr>
              <w:t>+35-45%</w:t>
            </w:r>
          </w:p>
          <w:p>
            <w:pPr>
              <w:spacing w:before="40"/>
            </w:pPr>
            <w:r>
              <w:rPr>
                <w:rFonts w:ascii="Avenir Next" w:hAnsi="Avenir Next"/>
                <w:color w:val="4A5568"/>
                <w:sz w:val="18"/>
              </w:rPr>
              <w:t>projected ARPU uplift</w:t>
            </w:r>
          </w:p>
        </w:tc>
      </w:tr>
      <w:tr>
        <w:tc>
          <w:tcPr>
            <w:tcW w:type="dxa" w:w="5083"/>
            <w:shd w:fill="F7FAFC"/>
          </w:tcPr>
          <w:p>
            <w:pPr>
              <w:jc w:val="left"/>
            </w:pPr>
            <w:r/>
            <w:r>
              <w:rPr>
                <w:rFonts w:ascii="Avenir Next" w:hAnsi="Avenir Next"/>
                <w:b/>
                <w:color w:val="1A2332"/>
                <w:sz w:val="30"/>
              </w:rPr>
              <w:t>3</w:t>
            </w:r>
          </w:p>
          <w:p>
            <w:pPr>
              <w:spacing w:before="40"/>
            </w:pPr>
            <w:r>
              <w:rPr>
                <w:rFonts w:ascii="Avenir Next" w:hAnsi="Avenir Next"/>
                <w:color w:val="4A5568"/>
                <w:sz w:val="18"/>
              </w:rPr>
              <w:t>target customer segments</w:t>
            </w:r>
          </w:p>
        </w:tc>
        <w:tc>
          <w:tcPr>
            <w:tcW w:type="dxa" w:w="5083"/>
            <w:shd w:fill="F7FAFC"/>
          </w:tcPr>
          <w:p>
            <w:pPr>
              <w:jc w:val="left"/>
            </w:pPr>
            <w:r/>
            <w:r>
              <w:rPr>
                <w:rFonts w:ascii="Avenir Next" w:hAnsi="Avenir Next"/>
                <w:b/>
                <w:color w:val="1A2332"/>
                <w:sz w:val="30"/>
              </w:rPr>
              <w:t>4</w:t>
            </w:r>
          </w:p>
          <w:p>
            <w:pPr>
              <w:spacing w:before="40"/>
            </w:pPr>
            <w:r>
              <w:rPr>
                <w:rFonts w:ascii="Avenir Next" w:hAnsi="Avenir Next"/>
                <w:color w:val="4A5568"/>
                <w:sz w:val="18"/>
              </w:rPr>
              <w:t>validation tracks</w:t>
            </w:r>
          </w:p>
        </w:tc>
      </w:tr>
    </w:tbl>
    <w:p>
      <w:pPr>
        <w:spacing w:after="40"/>
        <w:jc w:val="left"/>
      </w:pPr>
      <w:r>
        <w:rPr>
          <w:rFonts w:ascii="Avenir Next" w:hAnsi="Avenir Next"/>
          <w:b w:val="0"/>
          <w:color w:val="1A202C"/>
          <w:sz w:val="21"/>
        </w:rPr>
      </w:r>
    </w:p>
    <w:p>
      <w:pPr>
        <w:pStyle w:val="Heading1"/>
        <w:spacing w:before="200" w:after="80"/>
      </w:pPr>
      <w:r>
        <w:t>Executive Summary</w:t>
      </w:r>
    </w:p>
    <w:p>
      <w:pPr>
        <w:spacing w:after="160"/>
        <w:jc w:val="left"/>
      </w:pPr>
      <w:r>
        <w:rPr>
          <w:rFonts w:ascii="Avenir Next" w:hAnsi="Avenir Next"/>
          <w:b w:val="0"/>
          <w:color w:val="1A202C"/>
          <w:sz w:val="21"/>
        </w:rPr>
        <w:t>This pricing case translates the commercial logic from the AI productivity market analysis into a monetization design. The problem is a common one: a workflow product with one broad offer is trying to serve multiple buyer types whose willingness-to-pay logic is meaningfully different. The recommended solution is a three-tier pricing architecture aligned to customer maturity, workflow needs, and governance requirements. The goal is not simply to raise price. The goal is to capture value more cleanly and create upgrade logic that fits how buyers actually buy.</w:t>
      </w:r>
    </w:p>
    <w:p>
      <w:pPr>
        <w:sectPr>
          <w:footerReference w:type="default" r:id="rId9"/>
          <w:pgSz w:w="12240" w:h="15840"/>
          <w:pgMar w:top="1080" w:right="1037" w:bottom="936" w:left="1037" w:header="720" w:footer="720" w:gutter="0"/>
          <w:cols w:space="720"/>
          <w:docGrid w:linePitch="360"/>
        </w:sectPr>
      </w:pPr>
    </w:p>
    <w:p>
      <w:pPr>
        <w:pStyle w:val="Heading1"/>
        <w:spacing w:before="200" w:after="80"/>
      </w:pPr>
      <w:r>
        <w:t>How This Case Connects to Case 02</w:t>
      </w:r>
    </w:p>
    <w:p>
      <w:pPr>
        <w:spacing w:after="120"/>
        <w:jc w:val="left"/>
      </w:pPr>
      <w:r>
        <w:rPr>
          <w:rFonts w:ascii="Avenir Next" w:hAnsi="Avenir Next"/>
          <w:b w:val="0"/>
          <w:color w:val="1A202C"/>
          <w:sz w:val="21"/>
        </w:rPr>
        <w:t>This pricing case is not a disconnected hypothetical. It is deliberately built on the same category logic as Flagship Case 02. The buyer segments, workflow pressures, and governance premium identified in Case 02 become the foundation for the pricing design here.</w:t>
      </w:r>
    </w:p>
    <w:p>
      <w:pPr>
        <w:spacing w:after="120"/>
        <w:jc w:val="left"/>
      </w:pPr>
      <w:r>
        <w:rPr>
          <w:rFonts w:ascii="Avenir Next" w:hAnsi="Avenir Next"/>
          <w:b w:val="0"/>
          <w:color w:val="1A202C"/>
          <w:sz w:val="21"/>
        </w:rPr>
        <w:t>That makes this asset more credible as a portfolio system. The market map produces the monetization logic, rather than each case inventing its own context.</w:t>
      </w:r>
    </w:p>
    <w:p>
      <w:pPr>
        <w:pStyle w:val="Heading1"/>
        <w:spacing w:before="200" w:after="80"/>
      </w:pPr>
      <w:r>
        <w:t>Business Problem</w:t>
      </w:r>
    </w:p>
    <w:p>
      <w:pPr>
        <w:spacing w:after="120"/>
        <w:jc w:val="left"/>
      </w:pPr>
      <w:r>
        <w:rPr>
          <w:rFonts w:ascii="Avenir Next" w:hAnsi="Avenir Next"/>
          <w:b w:val="0"/>
          <w:color w:val="1A202C"/>
          <w:sz w:val="21"/>
        </w:rPr>
        <w:t>The current offer forces unlike customers into the same pricing and packaging structure. Smaller teams see too much friction, while larger and more demanding teams see too little structure. The commercial result is weak expansion revenue, avoidable churn, and poor alignment between price and value capture.</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Illustrative current-state diagnosis</w:t>
      </w:r>
    </w:p>
    <w:tbl>
      <w:tblPr>
        <w:tblW w:type="auto" w:w="0"/>
        <w:jc w:val="left"/>
        <w:tblLayout w:type="autofit"/>
        <w:tblLook w:firstColumn="1" w:firstRow="1" w:lastColumn="0" w:lastRow="0" w:noHBand="0" w:noVBand="1" w:val="04A0"/>
      </w:tblPr>
      <w:tblGrid>
        <w:gridCol w:w="3389"/>
        <w:gridCol w:w="3389"/>
        <w:gridCol w:w="3389"/>
      </w:tblGrid>
      <w:tr>
        <w:tc>
          <w:tcPr>
            <w:tcW w:type="dxa" w:w="3389"/>
            <w:shd w:fill="1A2332"/>
            <w:vAlign w:val="center"/>
          </w:tcPr>
          <w:p>
            <w:pPr>
              <w:jc w:val="center"/>
            </w:pPr>
            <w:r/>
            <w:r>
              <w:rPr>
                <w:rFonts w:ascii="Avenir Next" w:hAnsi="Avenir Next"/>
                <w:b/>
                <w:color w:val="FFFFFF"/>
                <w:sz w:val="19"/>
              </w:rPr>
              <w:t>Metric</w:t>
            </w:r>
          </w:p>
        </w:tc>
        <w:tc>
          <w:tcPr>
            <w:tcW w:type="dxa" w:w="3389"/>
            <w:shd w:fill="1A2332"/>
            <w:vAlign w:val="center"/>
          </w:tcPr>
          <w:p>
            <w:pPr>
              <w:jc w:val="center"/>
            </w:pPr>
            <w:r/>
            <w:r>
              <w:rPr>
                <w:rFonts w:ascii="Avenir Next" w:hAnsi="Avenir Next"/>
                <w:b/>
                <w:color w:val="FFFFFF"/>
                <w:sz w:val="19"/>
              </w:rPr>
              <w:t>Current state</w:t>
            </w:r>
          </w:p>
        </w:tc>
        <w:tc>
          <w:tcPr>
            <w:tcW w:type="dxa" w:w="3389"/>
            <w:shd w:fill="1A2332"/>
            <w:vAlign w:val="center"/>
          </w:tcPr>
          <w:p>
            <w:pPr>
              <w:jc w:val="center"/>
            </w:pPr>
            <w:r/>
            <w:r>
              <w:rPr>
                <w:rFonts w:ascii="Avenir Next" w:hAnsi="Avenir Next"/>
                <w:b/>
                <w:color w:val="FFFFFF"/>
                <w:sz w:val="19"/>
              </w:rPr>
              <w:t>Why it matters</w:t>
            </w:r>
          </w:p>
        </w:tc>
      </w:tr>
      <w:tr>
        <w:tc>
          <w:tcPr>
            <w:tcW w:type="dxa" w:w="3389"/>
            <w:shd w:fill="F7FAFC"/>
            <w:vAlign w:val="center"/>
          </w:tcPr>
          <w:p>
            <w:pPr>
              <w:jc w:val="left"/>
            </w:pPr>
            <w:r/>
            <w:r>
              <w:rPr>
                <w:rFonts w:ascii="Avenir Next" w:hAnsi="Avenir Next"/>
                <w:b w:val="0"/>
                <w:color w:val="1A202C"/>
                <w:sz w:val="18"/>
              </w:rPr>
              <w:t>Active customers</w:t>
            </w:r>
          </w:p>
        </w:tc>
        <w:tc>
          <w:tcPr>
            <w:tcW w:type="dxa" w:w="3389"/>
            <w:shd w:fill="F7FAFC"/>
            <w:vAlign w:val="center"/>
          </w:tcPr>
          <w:p>
            <w:pPr>
              <w:jc w:val="left"/>
            </w:pPr>
            <w:r/>
            <w:r>
              <w:rPr>
                <w:rFonts w:ascii="Avenir Next" w:hAnsi="Avenir Next"/>
                <w:b w:val="0"/>
                <w:color w:val="1A202C"/>
                <w:sz w:val="18"/>
              </w:rPr>
              <w:t>340</w:t>
            </w:r>
          </w:p>
        </w:tc>
        <w:tc>
          <w:tcPr>
            <w:tcW w:type="dxa" w:w="3389"/>
            <w:shd w:fill="F7FAFC"/>
            <w:vAlign w:val="center"/>
          </w:tcPr>
          <w:p>
            <w:pPr>
              <w:jc w:val="left"/>
            </w:pPr>
            <w:r/>
            <w:r>
              <w:rPr>
                <w:rFonts w:ascii="Avenir Next" w:hAnsi="Avenir Next"/>
                <w:b w:val="0"/>
                <w:color w:val="1A202C"/>
                <w:sz w:val="18"/>
              </w:rPr>
              <w:t>Sufficient base to observe segment differences</w:t>
            </w:r>
          </w:p>
        </w:tc>
      </w:tr>
      <w:tr>
        <w:tc>
          <w:tcPr>
            <w:tcW w:type="dxa" w:w="3389"/>
            <w:vAlign w:val="center"/>
          </w:tcPr>
          <w:p>
            <w:pPr>
              <w:jc w:val="left"/>
            </w:pPr>
            <w:r/>
            <w:r>
              <w:rPr>
                <w:rFonts w:ascii="Avenir Next" w:hAnsi="Avenir Next"/>
                <w:b w:val="0"/>
                <w:color w:val="1A202C"/>
                <w:sz w:val="18"/>
              </w:rPr>
              <w:t>Current offer</w:t>
            </w:r>
          </w:p>
        </w:tc>
        <w:tc>
          <w:tcPr>
            <w:tcW w:type="dxa" w:w="3389"/>
            <w:vAlign w:val="center"/>
          </w:tcPr>
          <w:p>
            <w:pPr>
              <w:jc w:val="left"/>
            </w:pPr>
            <w:r/>
            <w:r>
              <w:rPr>
                <w:rFonts w:ascii="Avenir Next" w:hAnsi="Avenir Next"/>
                <w:b w:val="0"/>
                <w:color w:val="1A202C"/>
                <w:sz w:val="18"/>
              </w:rPr>
              <w:t>$99 single tier</w:t>
            </w:r>
          </w:p>
        </w:tc>
        <w:tc>
          <w:tcPr>
            <w:tcW w:type="dxa" w:w="3389"/>
            <w:vAlign w:val="center"/>
          </w:tcPr>
          <w:p>
            <w:pPr>
              <w:jc w:val="left"/>
            </w:pPr>
            <w:r/>
            <w:r>
              <w:rPr>
                <w:rFonts w:ascii="Avenir Next" w:hAnsi="Avenir Next"/>
                <w:b w:val="0"/>
                <w:color w:val="1A202C"/>
                <w:sz w:val="18"/>
              </w:rPr>
              <w:t>Blurs small-team and larger-team needs</w:t>
            </w:r>
          </w:p>
        </w:tc>
      </w:tr>
      <w:tr>
        <w:tc>
          <w:tcPr>
            <w:tcW w:type="dxa" w:w="3389"/>
            <w:shd w:fill="F7FAFC"/>
            <w:vAlign w:val="center"/>
          </w:tcPr>
          <w:p>
            <w:pPr>
              <w:jc w:val="left"/>
            </w:pPr>
            <w:r/>
            <w:r>
              <w:rPr>
                <w:rFonts w:ascii="Avenir Next" w:hAnsi="Avenir Next"/>
                <w:b w:val="0"/>
                <w:color w:val="1A202C"/>
                <w:sz w:val="18"/>
              </w:rPr>
              <w:t>Monthly churn</w:t>
            </w:r>
          </w:p>
        </w:tc>
        <w:tc>
          <w:tcPr>
            <w:tcW w:type="dxa" w:w="3389"/>
            <w:shd w:fill="F7FAFC"/>
            <w:vAlign w:val="center"/>
          </w:tcPr>
          <w:p>
            <w:pPr>
              <w:jc w:val="left"/>
            </w:pPr>
            <w:r/>
            <w:r>
              <w:rPr>
                <w:rFonts w:ascii="Avenir Next" w:hAnsi="Avenir Next"/>
                <w:b w:val="0"/>
                <w:color w:val="1A202C"/>
                <w:sz w:val="18"/>
              </w:rPr>
              <w:t>4.2%</w:t>
            </w:r>
          </w:p>
        </w:tc>
        <w:tc>
          <w:tcPr>
            <w:tcW w:type="dxa" w:w="3389"/>
            <w:shd w:fill="F7FAFC"/>
            <w:vAlign w:val="center"/>
          </w:tcPr>
          <w:p>
            <w:pPr>
              <w:jc w:val="left"/>
            </w:pPr>
            <w:r/>
            <w:r>
              <w:rPr>
                <w:rFonts w:ascii="Avenir Next" w:hAnsi="Avenir Next"/>
                <w:b w:val="0"/>
                <w:color w:val="1A202C"/>
                <w:sz w:val="18"/>
              </w:rPr>
              <w:t>Signals weak feature-value alignment</w:t>
            </w:r>
          </w:p>
        </w:tc>
      </w:tr>
      <w:tr>
        <w:tc>
          <w:tcPr>
            <w:tcW w:type="dxa" w:w="3389"/>
            <w:vAlign w:val="center"/>
          </w:tcPr>
          <w:p>
            <w:pPr>
              <w:jc w:val="left"/>
            </w:pPr>
            <w:r/>
            <w:r>
              <w:rPr>
                <w:rFonts w:ascii="Avenir Next" w:hAnsi="Avenir Next"/>
                <w:b w:val="0"/>
                <w:color w:val="1A202C"/>
                <w:sz w:val="18"/>
              </w:rPr>
              <w:t>Free-to-paid conversion</w:t>
            </w:r>
          </w:p>
        </w:tc>
        <w:tc>
          <w:tcPr>
            <w:tcW w:type="dxa" w:w="3389"/>
            <w:vAlign w:val="center"/>
          </w:tcPr>
          <w:p>
            <w:pPr>
              <w:jc w:val="left"/>
            </w:pPr>
            <w:r/>
            <w:r>
              <w:rPr>
                <w:rFonts w:ascii="Avenir Next" w:hAnsi="Avenir Next"/>
                <w:b w:val="0"/>
                <w:color w:val="1A202C"/>
                <w:sz w:val="18"/>
              </w:rPr>
              <w:t>12%</w:t>
            </w:r>
          </w:p>
        </w:tc>
        <w:tc>
          <w:tcPr>
            <w:tcW w:type="dxa" w:w="3389"/>
            <w:vAlign w:val="center"/>
          </w:tcPr>
          <w:p>
            <w:pPr>
              <w:jc w:val="left"/>
            </w:pPr>
            <w:r/>
            <w:r>
              <w:rPr>
                <w:rFonts w:ascii="Avenir Next" w:hAnsi="Avenir Next"/>
                <w:b w:val="0"/>
                <w:color w:val="1A202C"/>
                <w:sz w:val="18"/>
              </w:rPr>
              <w:t>Moderate conversion with room for packaging improvement</w:t>
            </w:r>
          </w:p>
        </w:tc>
      </w:tr>
      <w:tr>
        <w:tc>
          <w:tcPr>
            <w:tcW w:type="dxa" w:w="3389"/>
            <w:shd w:fill="F7FAFC"/>
            <w:vAlign w:val="center"/>
          </w:tcPr>
          <w:p>
            <w:pPr>
              <w:jc w:val="left"/>
            </w:pPr>
            <w:r/>
            <w:r>
              <w:rPr>
                <w:rFonts w:ascii="Avenir Next" w:hAnsi="Avenir Next"/>
                <w:b w:val="0"/>
                <w:color w:val="1A202C"/>
                <w:sz w:val="18"/>
              </w:rPr>
              <w:t>Expansion revenue</w:t>
            </w:r>
          </w:p>
        </w:tc>
        <w:tc>
          <w:tcPr>
            <w:tcW w:type="dxa" w:w="3389"/>
            <w:shd w:fill="F7FAFC"/>
            <w:vAlign w:val="center"/>
          </w:tcPr>
          <w:p>
            <w:pPr>
              <w:jc w:val="left"/>
            </w:pPr>
            <w:r/>
            <w:r>
              <w:rPr>
                <w:rFonts w:ascii="Avenir Next" w:hAnsi="Avenir Next"/>
                <w:b w:val="0"/>
                <w:color w:val="1A202C"/>
                <w:sz w:val="18"/>
              </w:rPr>
              <w:t>Low</w:t>
            </w:r>
          </w:p>
        </w:tc>
        <w:tc>
          <w:tcPr>
            <w:tcW w:type="dxa" w:w="3389"/>
            <w:shd w:fill="F7FAFC"/>
            <w:vAlign w:val="center"/>
          </w:tcPr>
          <w:p>
            <w:pPr>
              <w:jc w:val="left"/>
            </w:pPr>
            <w:r/>
            <w:r>
              <w:rPr>
                <w:rFonts w:ascii="Avenir Next" w:hAnsi="Avenir Next"/>
                <w:b w:val="0"/>
                <w:color w:val="1A202C"/>
                <w:sz w:val="18"/>
              </w:rPr>
              <w:t>No clean upgrade path</w:t>
            </w:r>
          </w:p>
        </w:tc>
      </w:tr>
    </w:tbl>
    <w:p>
      <w:pPr>
        <w:spacing w:after="40"/>
        <w:jc w:val="left"/>
      </w:pPr>
      <w:r>
        <w:rPr>
          <w:rFonts w:ascii="Avenir Next" w:hAnsi="Avenir Next"/>
          <w:b w:val="0"/>
          <w:color w:val="1A202C"/>
          <w:sz w:val="21"/>
        </w:rPr>
      </w:r>
    </w:p>
    <w:p>
      <w:pPr>
        <w:pStyle w:val="Heading1"/>
        <w:spacing w:before="200" w:after="80"/>
      </w:pPr>
      <w:r>
        <w:t>Value Drivers</w:t>
      </w:r>
    </w:p>
    <w:p>
      <w:pPr>
        <w:spacing w:after="120"/>
        <w:jc w:val="left"/>
      </w:pPr>
      <w:r>
        <w:rPr>
          <w:rFonts w:ascii="Avenir Next" w:hAnsi="Avenir Next"/>
          <w:b w:val="0"/>
          <w:color w:val="1A202C"/>
          <w:sz w:val="21"/>
        </w:rPr>
        <w:t>The pricing ladder should follow the value ladder. Customers do not pay for every feature equally; they pay for the subset that changes labor, coordination, or control quality.</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Value drivers ranked by economic impact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1A2332"/>
            <w:vAlign w:val="center"/>
          </w:tcPr>
          <w:p>
            <w:pPr>
              <w:jc w:val="center"/>
            </w:pPr>
            <w:r/>
            <w:r>
              <w:rPr>
                <w:rFonts w:ascii="Avenir Next" w:hAnsi="Avenir Next"/>
                <w:b/>
                <w:color w:val="FFFFFF"/>
                <w:sz w:val="19"/>
              </w:rPr>
              <w:t>Rank</w:t>
            </w:r>
          </w:p>
        </w:tc>
        <w:tc>
          <w:tcPr>
            <w:tcW w:type="dxa" w:w="2541"/>
            <w:shd w:fill="1A2332"/>
            <w:vAlign w:val="center"/>
          </w:tcPr>
          <w:p>
            <w:pPr>
              <w:jc w:val="center"/>
            </w:pPr>
            <w:r/>
            <w:r>
              <w:rPr>
                <w:rFonts w:ascii="Avenir Next" w:hAnsi="Avenir Next"/>
                <w:b/>
                <w:color w:val="FFFFFF"/>
                <w:sz w:val="19"/>
              </w:rPr>
              <w:t>Value driver</w:t>
            </w:r>
          </w:p>
        </w:tc>
        <w:tc>
          <w:tcPr>
            <w:tcW w:type="dxa" w:w="2541"/>
            <w:shd w:fill="1A2332"/>
            <w:vAlign w:val="center"/>
          </w:tcPr>
          <w:p>
            <w:pPr>
              <w:jc w:val="center"/>
            </w:pPr>
            <w:r/>
            <w:r>
              <w:rPr>
                <w:rFonts w:ascii="Avenir Next" w:hAnsi="Avenir Next"/>
                <w:b/>
                <w:color w:val="FFFFFF"/>
                <w:sz w:val="19"/>
              </w:rPr>
              <w:t>Reason it matters</w:t>
            </w:r>
          </w:p>
        </w:tc>
        <w:tc>
          <w:tcPr>
            <w:tcW w:type="dxa" w:w="2541"/>
            <w:shd w:fill="1A2332"/>
            <w:vAlign w:val="center"/>
          </w:tcPr>
          <w:p>
            <w:pPr>
              <w:jc w:val="center"/>
            </w:pPr>
            <w:r/>
            <w:r>
              <w:rPr>
                <w:rFonts w:ascii="Avenir Next" w:hAnsi="Avenir Next"/>
                <w:b/>
                <w:color w:val="FFFFFF"/>
                <w:sz w:val="19"/>
              </w:rPr>
              <w:t>WTP signal</w:t>
            </w:r>
          </w:p>
        </w:tc>
      </w:tr>
      <w:tr>
        <w:tc>
          <w:tcPr>
            <w:tcW w:type="dxa" w:w="2541"/>
            <w:shd w:fill="F7FAFC"/>
            <w:vAlign w:val="center"/>
          </w:tcPr>
          <w:p>
            <w:pPr>
              <w:jc w:val="left"/>
            </w:pPr>
            <w:r/>
            <w:r>
              <w:rPr>
                <w:rFonts w:ascii="Avenir Next" w:hAnsi="Avenir Next"/>
                <w:b w:val="0"/>
                <w:color w:val="1A202C"/>
                <w:sz w:val="18"/>
              </w:rPr>
              <w:t>1</w:t>
            </w:r>
          </w:p>
        </w:tc>
        <w:tc>
          <w:tcPr>
            <w:tcW w:type="dxa" w:w="2541"/>
            <w:shd w:fill="F7FAFC"/>
            <w:vAlign w:val="center"/>
          </w:tcPr>
          <w:p>
            <w:pPr>
              <w:jc w:val="left"/>
            </w:pPr>
            <w:r/>
            <w:r>
              <w:rPr>
                <w:rFonts w:ascii="Avenir Next" w:hAnsi="Avenir Next"/>
                <w:b w:val="0"/>
                <w:color w:val="1A202C"/>
                <w:sz w:val="18"/>
              </w:rPr>
              <w:t>Time saved on workflow handling</w:t>
            </w:r>
          </w:p>
        </w:tc>
        <w:tc>
          <w:tcPr>
            <w:tcW w:type="dxa" w:w="2541"/>
            <w:shd w:fill="F7FAFC"/>
            <w:vAlign w:val="center"/>
          </w:tcPr>
          <w:p>
            <w:pPr>
              <w:jc w:val="left"/>
            </w:pPr>
            <w:r/>
            <w:r>
              <w:rPr>
                <w:rFonts w:ascii="Avenir Next" w:hAnsi="Avenir Next"/>
                <w:b w:val="0"/>
                <w:color w:val="1A202C"/>
                <w:sz w:val="18"/>
              </w:rPr>
              <w:t>Directly reduces labor and turnaround friction</w:t>
            </w:r>
          </w:p>
        </w:tc>
        <w:tc>
          <w:tcPr>
            <w:tcW w:type="dxa" w:w="2541"/>
            <w:shd w:fill="F7FAFC"/>
            <w:vAlign w:val="center"/>
          </w:tcPr>
          <w:p>
            <w:pPr>
              <w:jc w:val="left"/>
            </w:pPr>
            <w:r/>
            <w:r>
              <w:rPr>
                <w:rFonts w:ascii="Avenir Next" w:hAnsi="Avenir Next"/>
                <w:b w:val="0"/>
                <w:color w:val="1A202C"/>
                <w:sz w:val="18"/>
              </w:rPr>
              <w:t>Highest</w:t>
            </w:r>
          </w:p>
        </w:tc>
      </w:tr>
      <w:tr>
        <w:tc>
          <w:tcPr>
            <w:tcW w:type="dxa" w:w="2541"/>
            <w:vAlign w:val="center"/>
          </w:tcPr>
          <w:p>
            <w:pPr>
              <w:jc w:val="left"/>
            </w:pPr>
            <w:r/>
            <w:r>
              <w:rPr>
                <w:rFonts w:ascii="Avenir Next" w:hAnsi="Avenir Next"/>
                <w:b w:val="0"/>
                <w:color w:val="1A202C"/>
                <w:sz w:val="18"/>
              </w:rPr>
              <w:t>2</w:t>
            </w:r>
          </w:p>
        </w:tc>
        <w:tc>
          <w:tcPr>
            <w:tcW w:type="dxa" w:w="2541"/>
            <w:vAlign w:val="center"/>
          </w:tcPr>
          <w:p>
            <w:pPr>
              <w:jc w:val="left"/>
            </w:pPr>
            <w:r/>
            <w:r>
              <w:rPr>
                <w:rFonts w:ascii="Avenir Next" w:hAnsi="Avenir Next"/>
                <w:b w:val="0"/>
                <w:color w:val="1A202C"/>
                <w:sz w:val="18"/>
              </w:rPr>
              <w:t>Integration depth</w:t>
            </w:r>
          </w:p>
        </w:tc>
        <w:tc>
          <w:tcPr>
            <w:tcW w:type="dxa" w:w="2541"/>
            <w:vAlign w:val="center"/>
          </w:tcPr>
          <w:p>
            <w:pPr>
              <w:jc w:val="left"/>
            </w:pPr>
            <w:r/>
            <w:r>
              <w:rPr>
                <w:rFonts w:ascii="Avenir Next" w:hAnsi="Avenir Next"/>
                <w:b w:val="0"/>
                <w:color w:val="1A202C"/>
                <w:sz w:val="18"/>
              </w:rPr>
              <w:t>Improves adoption and embeds the product inside real work</w:t>
            </w:r>
          </w:p>
        </w:tc>
        <w:tc>
          <w:tcPr>
            <w:tcW w:type="dxa" w:w="2541"/>
            <w:vAlign w:val="center"/>
          </w:tcPr>
          <w:p>
            <w:pPr>
              <w:jc w:val="left"/>
            </w:pPr>
            <w:r/>
            <w:r>
              <w:rPr>
                <w:rFonts w:ascii="Avenir Next" w:hAnsi="Avenir Next"/>
                <w:b w:val="0"/>
                <w:color w:val="1A202C"/>
                <w:sz w:val="18"/>
              </w:rPr>
              <w:t>High</w:t>
            </w:r>
          </w:p>
        </w:tc>
      </w:tr>
      <w:tr>
        <w:tc>
          <w:tcPr>
            <w:tcW w:type="dxa" w:w="2541"/>
            <w:shd w:fill="F7FAFC"/>
            <w:vAlign w:val="center"/>
          </w:tcPr>
          <w:p>
            <w:pPr>
              <w:jc w:val="left"/>
            </w:pPr>
            <w:r/>
            <w:r>
              <w:rPr>
                <w:rFonts w:ascii="Avenir Next" w:hAnsi="Avenir Next"/>
                <w:b w:val="0"/>
                <w:color w:val="1A202C"/>
                <w:sz w:val="18"/>
              </w:rPr>
              <w:t>3</w:t>
            </w:r>
          </w:p>
        </w:tc>
        <w:tc>
          <w:tcPr>
            <w:tcW w:type="dxa" w:w="2541"/>
            <w:shd w:fill="F7FAFC"/>
            <w:vAlign w:val="center"/>
          </w:tcPr>
          <w:p>
            <w:pPr>
              <w:jc w:val="left"/>
            </w:pPr>
            <w:r/>
            <w:r>
              <w:rPr>
                <w:rFonts w:ascii="Avenir Next" w:hAnsi="Avenir Next"/>
                <w:b w:val="0"/>
                <w:color w:val="1A202C"/>
                <w:sz w:val="18"/>
              </w:rPr>
              <w:t>Collaboration features</w:t>
            </w:r>
          </w:p>
        </w:tc>
        <w:tc>
          <w:tcPr>
            <w:tcW w:type="dxa" w:w="2541"/>
            <w:shd w:fill="F7FAFC"/>
            <w:vAlign w:val="center"/>
          </w:tcPr>
          <w:p>
            <w:pPr>
              <w:jc w:val="left"/>
            </w:pPr>
            <w:r/>
            <w:r>
              <w:rPr>
                <w:rFonts w:ascii="Avenir Next" w:hAnsi="Avenir Next"/>
                <w:b w:val="0"/>
                <w:color w:val="1A202C"/>
                <w:sz w:val="18"/>
              </w:rPr>
              <w:t>Supports team coordination and approvals</w:t>
            </w:r>
          </w:p>
        </w:tc>
        <w:tc>
          <w:tcPr>
            <w:tcW w:type="dxa" w:w="2541"/>
            <w:shd w:fill="F7FAFC"/>
            <w:vAlign w:val="center"/>
          </w:tcPr>
          <w:p>
            <w:pPr>
              <w:jc w:val="left"/>
            </w:pPr>
            <w:r/>
            <w:r>
              <w:rPr>
                <w:rFonts w:ascii="Avenir Next" w:hAnsi="Avenir Next"/>
                <w:b w:val="0"/>
                <w:color w:val="1A202C"/>
                <w:sz w:val="18"/>
              </w:rPr>
              <w:t>Medium-High</w:t>
            </w:r>
          </w:p>
        </w:tc>
      </w:tr>
      <w:tr>
        <w:tc>
          <w:tcPr>
            <w:tcW w:type="dxa" w:w="2541"/>
            <w:vAlign w:val="center"/>
          </w:tcPr>
          <w:p>
            <w:pPr>
              <w:jc w:val="left"/>
            </w:pPr>
            <w:r/>
            <w:r>
              <w:rPr>
                <w:rFonts w:ascii="Avenir Next" w:hAnsi="Avenir Next"/>
                <w:b w:val="0"/>
                <w:color w:val="1A202C"/>
                <w:sz w:val="18"/>
              </w:rPr>
              <w:t>4</w:t>
            </w:r>
          </w:p>
        </w:tc>
        <w:tc>
          <w:tcPr>
            <w:tcW w:type="dxa" w:w="2541"/>
            <w:vAlign w:val="center"/>
          </w:tcPr>
          <w:p>
            <w:pPr>
              <w:jc w:val="left"/>
            </w:pPr>
            <w:r/>
            <w:r>
              <w:rPr>
                <w:rFonts w:ascii="Avenir Next" w:hAnsi="Avenir Next"/>
                <w:b w:val="0"/>
                <w:color w:val="1A202C"/>
                <w:sz w:val="18"/>
              </w:rPr>
              <w:t>Governance and audit trail</w:t>
            </w:r>
          </w:p>
        </w:tc>
        <w:tc>
          <w:tcPr>
            <w:tcW w:type="dxa" w:w="2541"/>
            <w:vAlign w:val="center"/>
          </w:tcPr>
          <w:p>
            <w:pPr>
              <w:jc w:val="left"/>
            </w:pPr>
            <w:r/>
            <w:r>
              <w:rPr>
                <w:rFonts w:ascii="Avenir Next" w:hAnsi="Avenir Next"/>
                <w:b w:val="0"/>
                <w:color w:val="1A202C"/>
                <w:sz w:val="18"/>
              </w:rPr>
              <w:t>Becomes decisive for control-sensitive buyers</w:t>
            </w:r>
          </w:p>
        </w:tc>
        <w:tc>
          <w:tcPr>
            <w:tcW w:type="dxa" w:w="2541"/>
            <w:vAlign w:val="center"/>
          </w:tcPr>
          <w:p>
            <w:pPr>
              <w:jc w:val="left"/>
            </w:pPr>
            <w:r/>
            <w:r>
              <w:rPr>
                <w:rFonts w:ascii="Avenir Next" w:hAnsi="Avenir Next"/>
                <w:b w:val="0"/>
                <w:color w:val="1A202C"/>
                <w:sz w:val="18"/>
              </w:rPr>
              <w:t>Medium-High</w:t>
            </w:r>
          </w:p>
        </w:tc>
      </w:tr>
      <w:tr>
        <w:tc>
          <w:tcPr>
            <w:tcW w:type="dxa" w:w="2541"/>
            <w:shd w:fill="F7FAFC"/>
            <w:vAlign w:val="center"/>
          </w:tcPr>
          <w:p>
            <w:pPr>
              <w:jc w:val="left"/>
            </w:pPr>
            <w:r/>
            <w:r>
              <w:rPr>
                <w:rFonts w:ascii="Avenir Next" w:hAnsi="Avenir Next"/>
                <w:b w:val="0"/>
                <w:color w:val="1A202C"/>
                <w:sz w:val="18"/>
              </w:rPr>
              <w:t>5</w:t>
            </w:r>
          </w:p>
        </w:tc>
        <w:tc>
          <w:tcPr>
            <w:tcW w:type="dxa" w:w="2541"/>
            <w:shd w:fill="F7FAFC"/>
            <w:vAlign w:val="center"/>
          </w:tcPr>
          <w:p>
            <w:pPr>
              <w:jc w:val="left"/>
            </w:pPr>
            <w:r/>
            <w:r>
              <w:rPr>
                <w:rFonts w:ascii="Avenir Next" w:hAnsi="Avenir Next"/>
                <w:b w:val="0"/>
                <w:color w:val="1A202C"/>
                <w:sz w:val="18"/>
              </w:rPr>
              <w:t>Support responsiveness</w:t>
            </w:r>
          </w:p>
        </w:tc>
        <w:tc>
          <w:tcPr>
            <w:tcW w:type="dxa" w:w="2541"/>
            <w:shd w:fill="F7FAFC"/>
            <w:vAlign w:val="center"/>
          </w:tcPr>
          <w:p>
            <w:pPr>
              <w:jc w:val="left"/>
            </w:pPr>
            <w:r/>
            <w:r>
              <w:rPr>
                <w:rFonts w:ascii="Avenir Next" w:hAnsi="Avenir Next"/>
                <w:b w:val="0"/>
                <w:color w:val="1A202C"/>
                <w:sz w:val="18"/>
              </w:rPr>
              <w:t>Important but secondary to workflow value</w:t>
            </w:r>
          </w:p>
        </w:tc>
        <w:tc>
          <w:tcPr>
            <w:tcW w:type="dxa" w:w="2541"/>
            <w:shd w:fill="F7FAFC"/>
            <w:vAlign w:val="center"/>
          </w:tcPr>
          <w:p>
            <w:pPr>
              <w:jc w:val="left"/>
            </w:pPr>
            <w:r/>
            <w:r>
              <w:rPr>
                <w:rFonts w:ascii="Avenir Next" w:hAnsi="Avenir Next"/>
                <w:b w:val="0"/>
                <w:color w:val="1A202C"/>
                <w:sz w:val="18"/>
              </w:rPr>
              <w:t>Low-Medium</w:t>
            </w:r>
          </w:p>
        </w:tc>
      </w:tr>
    </w:tbl>
    <w:p>
      <w:pPr>
        <w:spacing w:after="40"/>
        <w:jc w:val="left"/>
      </w:pPr>
      <w:r>
        <w:rPr>
          <w:rFonts w:ascii="Avenir Next" w:hAnsi="Avenir Next"/>
          <w:b w:val="0"/>
          <w:color w:val="1A202C"/>
          <w:sz w:val="21"/>
        </w:rPr>
      </w:r>
    </w:p>
    <w:p>
      <w:pPr>
        <w:pStyle w:val="Heading1"/>
        <w:spacing w:before="200" w:after="80"/>
      </w:pPr>
      <w:r>
        <w:t>Customer Segmentation</w:t>
      </w:r>
    </w:p>
    <w:p>
      <w:pPr>
        <w:spacing w:after="120"/>
        <w:jc w:val="left"/>
      </w:pPr>
      <w:r>
        <w:rPr>
          <w:rFonts w:ascii="Avenir Next" w:hAnsi="Avenir Next"/>
          <w:b w:val="0"/>
          <w:color w:val="1A202C"/>
          <w:sz w:val="21"/>
        </w:rPr>
        <w:t>The same three buyer logics from Case 02 remain useful here, but translated into monetization terms. Small teams buy relief from manual coordination. Growing teams buy integration and collaboration. Larger buyers buy control and governance.</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Segments that should anchor packaging</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1A2332"/>
            <w:vAlign w:val="center"/>
          </w:tcPr>
          <w:p>
            <w:pPr>
              <w:jc w:val="center"/>
            </w:pPr>
            <w:r/>
            <w:r>
              <w:rPr>
                <w:rFonts w:ascii="Avenir Next" w:hAnsi="Avenir Next"/>
                <w:b/>
                <w:color w:val="FFFFFF"/>
                <w:sz w:val="19"/>
              </w:rPr>
              <w:t>Segment</w:t>
            </w:r>
          </w:p>
        </w:tc>
        <w:tc>
          <w:tcPr>
            <w:tcW w:type="dxa" w:w="2541"/>
            <w:shd w:fill="1A2332"/>
            <w:vAlign w:val="center"/>
          </w:tcPr>
          <w:p>
            <w:pPr>
              <w:jc w:val="center"/>
            </w:pPr>
            <w:r/>
            <w:r>
              <w:rPr>
                <w:rFonts w:ascii="Avenir Next" w:hAnsi="Avenir Next"/>
                <w:b/>
                <w:color w:val="FFFFFF"/>
                <w:sz w:val="19"/>
              </w:rPr>
              <w:t>Buyer logic</w:t>
            </w:r>
          </w:p>
        </w:tc>
        <w:tc>
          <w:tcPr>
            <w:tcW w:type="dxa" w:w="2541"/>
            <w:shd w:fill="1A2332"/>
            <w:vAlign w:val="center"/>
          </w:tcPr>
          <w:p>
            <w:pPr>
              <w:jc w:val="center"/>
            </w:pPr>
            <w:r/>
            <w:r>
              <w:rPr>
                <w:rFonts w:ascii="Avenir Next" w:hAnsi="Avenir Next"/>
                <w:b/>
                <w:color w:val="FFFFFF"/>
                <w:sz w:val="19"/>
              </w:rPr>
              <w:t>Illustrative WTP</w:t>
            </w:r>
          </w:p>
        </w:tc>
        <w:tc>
          <w:tcPr>
            <w:tcW w:type="dxa" w:w="2541"/>
            <w:shd w:fill="1A2332"/>
            <w:vAlign w:val="center"/>
          </w:tcPr>
          <w:p>
            <w:pPr>
              <w:jc w:val="center"/>
            </w:pPr>
            <w:r/>
            <w:r>
              <w:rPr>
                <w:rFonts w:ascii="Avenir Next" w:hAnsi="Avenir Next"/>
                <w:b/>
                <w:color w:val="FFFFFF"/>
                <w:sz w:val="19"/>
              </w:rPr>
              <w:t>Packaging implication</w:t>
            </w:r>
          </w:p>
        </w:tc>
      </w:tr>
      <w:tr>
        <w:tc>
          <w:tcPr>
            <w:tcW w:type="dxa" w:w="2541"/>
            <w:shd w:fill="F7FAFC"/>
            <w:vAlign w:val="center"/>
          </w:tcPr>
          <w:p>
            <w:pPr>
              <w:jc w:val="left"/>
            </w:pPr>
            <w:r/>
            <w:r>
              <w:rPr>
                <w:rFonts w:ascii="Avenir Next" w:hAnsi="Avenir Next"/>
                <w:b w:val="0"/>
                <w:color w:val="1A202C"/>
                <w:sz w:val="18"/>
              </w:rPr>
              <w:t>Small teams</w:t>
            </w:r>
          </w:p>
        </w:tc>
        <w:tc>
          <w:tcPr>
            <w:tcW w:type="dxa" w:w="2541"/>
            <w:shd w:fill="F7FAFC"/>
            <w:vAlign w:val="center"/>
          </w:tcPr>
          <w:p>
            <w:pPr>
              <w:jc w:val="left"/>
            </w:pPr>
            <w:r/>
            <w:r>
              <w:rPr>
                <w:rFonts w:ascii="Avenir Next" w:hAnsi="Avenir Next"/>
                <w:b w:val="0"/>
                <w:color w:val="1A202C"/>
                <w:sz w:val="18"/>
              </w:rPr>
              <w:t>Need lean workflow relief</w:t>
            </w:r>
          </w:p>
        </w:tc>
        <w:tc>
          <w:tcPr>
            <w:tcW w:type="dxa" w:w="2541"/>
            <w:shd w:fill="F7FAFC"/>
            <w:vAlign w:val="center"/>
          </w:tcPr>
          <w:p>
            <w:pPr>
              <w:jc w:val="left"/>
            </w:pPr>
            <w:r/>
            <w:r>
              <w:rPr>
                <w:rFonts w:ascii="Avenir Next" w:hAnsi="Avenir Next"/>
                <w:b w:val="0"/>
                <w:color w:val="1A202C"/>
                <w:sz w:val="18"/>
              </w:rPr>
              <w:t>$40-60/mo</w:t>
            </w:r>
          </w:p>
        </w:tc>
        <w:tc>
          <w:tcPr>
            <w:tcW w:type="dxa" w:w="2541"/>
            <w:shd w:fill="F7FAFC"/>
            <w:vAlign w:val="center"/>
          </w:tcPr>
          <w:p>
            <w:pPr>
              <w:jc w:val="left"/>
            </w:pPr>
            <w:r/>
            <w:r>
              <w:rPr>
                <w:rFonts w:ascii="Avenir Next" w:hAnsi="Avenir Next"/>
                <w:b w:val="0"/>
                <w:color w:val="1A202C"/>
                <w:sz w:val="18"/>
              </w:rPr>
              <w:t>Low-friction starter tier</w:t>
            </w:r>
          </w:p>
        </w:tc>
      </w:tr>
      <w:tr>
        <w:tc>
          <w:tcPr>
            <w:tcW w:type="dxa" w:w="2541"/>
            <w:vAlign w:val="center"/>
          </w:tcPr>
          <w:p>
            <w:pPr>
              <w:jc w:val="left"/>
            </w:pPr>
            <w:r/>
            <w:r>
              <w:rPr>
                <w:rFonts w:ascii="Avenir Next" w:hAnsi="Avenir Next"/>
                <w:b w:val="0"/>
                <w:color w:val="1A202C"/>
                <w:sz w:val="18"/>
              </w:rPr>
              <w:t>Growing teams</w:t>
            </w:r>
          </w:p>
        </w:tc>
        <w:tc>
          <w:tcPr>
            <w:tcW w:type="dxa" w:w="2541"/>
            <w:vAlign w:val="center"/>
          </w:tcPr>
          <w:p>
            <w:pPr>
              <w:jc w:val="left"/>
            </w:pPr>
            <w:r/>
            <w:r>
              <w:rPr>
                <w:rFonts w:ascii="Avenir Next" w:hAnsi="Avenir Next"/>
                <w:b w:val="0"/>
                <w:color w:val="1A202C"/>
                <w:sz w:val="18"/>
              </w:rPr>
              <w:t>Need collaboration and integration</w:t>
            </w:r>
          </w:p>
        </w:tc>
        <w:tc>
          <w:tcPr>
            <w:tcW w:type="dxa" w:w="2541"/>
            <w:vAlign w:val="center"/>
          </w:tcPr>
          <w:p>
            <w:pPr>
              <w:jc w:val="left"/>
            </w:pPr>
            <w:r/>
            <w:r>
              <w:rPr>
                <w:rFonts w:ascii="Avenir Next" w:hAnsi="Avenir Next"/>
                <w:b w:val="0"/>
                <w:color w:val="1A202C"/>
                <w:sz w:val="18"/>
              </w:rPr>
              <w:t>$120-180/mo</w:t>
            </w:r>
          </w:p>
        </w:tc>
        <w:tc>
          <w:tcPr>
            <w:tcW w:type="dxa" w:w="2541"/>
            <w:vAlign w:val="center"/>
          </w:tcPr>
          <w:p>
            <w:pPr>
              <w:jc w:val="left"/>
            </w:pPr>
            <w:r/>
            <w:r>
              <w:rPr>
                <w:rFonts w:ascii="Avenir Next" w:hAnsi="Avenir Next"/>
                <w:b w:val="0"/>
                <w:color w:val="1A202C"/>
                <w:sz w:val="18"/>
              </w:rPr>
              <w:t>Professional tier with fuller workflow depth</w:t>
            </w:r>
          </w:p>
        </w:tc>
      </w:tr>
      <w:tr>
        <w:tc>
          <w:tcPr>
            <w:tcW w:type="dxa" w:w="2541"/>
            <w:shd w:fill="F7FAFC"/>
            <w:vAlign w:val="center"/>
          </w:tcPr>
          <w:p>
            <w:pPr>
              <w:jc w:val="left"/>
            </w:pPr>
            <w:r/>
            <w:r>
              <w:rPr>
                <w:rFonts w:ascii="Avenir Next" w:hAnsi="Avenir Next"/>
                <w:b w:val="0"/>
                <w:color w:val="1A202C"/>
                <w:sz w:val="18"/>
              </w:rPr>
              <w:t>Control-heavy teams</w:t>
            </w:r>
          </w:p>
        </w:tc>
        <w:tc>
          <w:tcPr>
            <w:tcW w:type="dxa" w:w="2541"/>
            <w:shd w:fill="F7FAFC"/>
            <w:vAlign w:val="center"/>
          </w:tcPr>
          <w:p>
            <w:pPr>
              <w:jc w:val="left"/>
            </w:pPr>
            <w:r/>
            <w:r>
              <w:rPr>
                <w:rFonts w:ascii="Avenir Next" w:hAnsi="Avenir Next"/>
                <w:b w:val="0"/>
                <w:color w:val="1A202C"/>
                <w:sz w:val="18"/>
              </w:rPr>
              <w:t>Need governance and admin control</w:t>
            </w:r>
          </w:p>
        </w:tc>
        <w:tc>
          <w:tcPr>
            <w:tcW w:type="dxa" w:w="2541"/>
            <w:shd w:fill="F7FAFC"/>
            <w:vAlign w:val="center"/>
          </w:tcPr>
          <w:p>
            <w:pPr>
              <w:jc w:val="left"/>
            </w:pPr>
            <w:r/>
            <w:r>
              <w:rPr>
                <w:rFonts w:ascii="Avenir Next" w:hAnsi="Avenir Next"/>
                <w:b w:val="0"/>
                <w:color w:val="1A202C"/>
                <w:sz w:val="18"/>
              </w:rPr>
              <w:t>$300-500/mo</w:t>
            </w:r>
          </w:p>
        </w:tc>
        <w:tc>
          <w:tcPr>
            <w:tcW w:type="dxa" w:w="2541"/>
            <w:shd w:fill="F7FAFC"/>
            <w:vAlign w:val="center"/>
          </w:tcPr>
          <w:p>
            <w:pPr>
              <w:jc w:val="left"/>
            </w:pPr>
            <w:r/>
            <w:r>
              <w:rPr>
                <w:rFonts w:ascii="Avenir Next" w:hAnsi="Avenir Next"/>
                <w:b w:val="0"/>
                <w:color w:val="1A202C"/>
                <w:sz w:val="18"/>
              </w:rPr>
              <w:t>Business tier with compliance and admin layers</w:t>
            </w:r>
          </w:p>
        </w:tc>
      </w:tr>
    </w:tbl>
    <w:p>
      <w:pPr>
        <w:spacing w:after="40"/>
        <w:jc w:val="left"/>
      </w:pPr>
      <w:r>
        <w:rPr>
          <w:rFonts w:ascii="Avenir Next" w:hAnsi="Avenir Next"/>
          <w:b w:val="0"/>
          <w:color w:val="1A202C"/>
          <w:sz w:val="21"/>
        </w:rPr>
      </w:r>
    </w:p>
    <w:p>
      <w:pPr>
        <w:pStyle w:val="Heading1"/>
        <w:spacing w:before="200" w:after="80"/>
      </w:pPr>
      <w:r>
        <w:t>Monetization Principles</w:t>
      </w:r>
    </w:p>
    <w:p>
      <w:pPr>
        <w:spacing w:after="120"/>
        <w:jc w:val="left"/>
      </w:pPr>
      <w:r>
        <w:rPr>
          <w:rFonts w:ascii="Avenir Next" w:hAnsi="Avenir Next"/>
          <w:b w:val="0"/>
          <w:color w:val="1A202C"/>
          <w:sz w:val="21"/>
        </w:rPr>
        <w:t>The pricing architecture only works if packaging rules preserve the upgrade path. That means each monetization principle should reduce ambiguity rather than create a long menu of edge-case offers.</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Principles that govern the monetization system</w:t>
      </w:r>
    </w:p>
    <w:tbl>
      <w:tblPr>
        <w:tblW w:type="auto" w:w="0"/>
        <w:jc w:val="left"/>
        <w:tblLayout w:type="autofit"/>
        <w:tblLook w:firstColumn="1" w:firstRow="1" w:lastColumn="0" w:lastRow="0" w:noHBand="0" w:noVBand="1" w:val="04A0"/>
      </w:tblPr>
      <w:tblGrid>
        <w:gridCol w:w="3389"/>
        <w:gridCol w:w="3389"/>
        <w:gridCol w:w="3389"/>
      </w:tblGrid>
      <w:tr>
        <w:tc>
          <w:tcPr>
            <w:tcW w:type="dxa" w:w="3389"/>
            <w:shd w:fill="1A2332"/>
            <w:vAlign w:val="center"/>
          </w:tcPr>
          <w:p>
            <w:pPr>
              <w:jc w:val="center"/>
            </w:pPr>
            <w:r/>
            <w:r>
              <w:rPr>
                <w:rFonts w:ascii="Avenir Next" w:hAnsi="Avenir Next"/>
                <w:b/>
                <w:color w:val="FFFFFF"/>
                <w:sz w:val="19"/>
              </w:rPr>
              <w:t>Principle</w:t>
            </w:r>
          </w:p>
        </w:tc>
        <w:tc>
          <w:tcPr>
            <w:tcW w:type="dxa" w:w="3389"/>
            <w:shd w:fill="1A2332"/>
            <w:vAlign w:val="center"/>
          </w:tcPr>
          <w:p>
            <w:pPr>
              <w:jc w:val="center"/>
            </w:pPr>
            <w:r/>
            <w:r>
              <w:rPr>
                <w:rFonts w:ascii="Avenir Next" w:hAnsi="Avenir Next"/>
                <w:b/>
                <w:color w:val="FFFFFF"/>
                <w:sz w:val="19"/>
              </w:rPr>
              <w:t>Why it matters</w:t>
            </w:r>
          </w:p>
        </w:tc>
        <w:tc>
          <w:tcPr>
            <w:tcW w:type="dxa" w:w="3389"/>
            <w:shd w:fill="1A2332"/>
            <w:vAlign w:val="center"/>
          </w:tcPr>
          <w:p>
            <w:pPr>
              <w:jc w:val="center"/>
            </w:pPr>
            <w:r/>
            <w:r>
              <w:rPr>
                <w:rFonts w:ascii="Avenir Next" w:hAnsi="Avenir Next"/>
                <w:b/>
                <w:color w:val="FFFFFF"/>
                <w:sz w:val="19"/>
              </w:rPr>
              <w:t>Practical implication</w:t>
            </w:r>
          </w:p>
        </w:tc>
      </w:tr>
      <w:tr>
        <w:tc>
          <w:tcPr>
            <w:tcW w:type="dxa" w:w="3389"/>
            <w:shd w:fill="F7FAFC"/>
            <w:vAlign w:val="center"/>
          </w:tcPr>
          <w:p>
            <w:pPr>
              <w:jc w:val="left"/>
            </w:pPr>
            <w:r/>
            <w:r>
              <w:rPr>
                <w:rFonts w:ascii="Avenir Next" w:hAnsi="Avenir Next"/>
                <w:b w:val="0"/>
                <w:color w:val="1A202C"/>
                <w:sz w:val="18"/>
              </w:rPr>
              <w:t>Price by workflow maturity</w:t>
            </w:r>
          </w:p>
        </w:tc>
        <w:tc>
          <w:tcPr>
            <w:tcW w:type="dxa" w:w="3389"/>
            <w:shd w:fill="F7FAFC"/>
            <w:vAlign w:val="center"/>
          </w:tcPr>
          <w:p>
            <w:pPr>
              <w:jc w:val="left"/>
            </w:pPr>
            <w:r/>
            <w:r>
              <w:rPr>
                <w:rFonts w:ascii="Avenir Next" w:hAnsi="Avenir Next"/>
                <w:b w:val="0"/>
                <w:color w:val="1A202C"/>
                <w:sz w:val="18"/>
              </w:rPr>
              <w:t>Different buyers need different depth and control</w:t>
            </w:r>
          </w:p>
        </w:tc>
        <w:tc>
          <w:tcPr>
            <w:tcW w:type="dxa" w:w="3389"/>
            <w:shd w:fill="F7FAFC"/>
            <w:vAlign w:val="center"/>
          </w:tcPr>
          <w:p>
            <w:pPr>
              <w:jc w:val="left"/>
            </w:pPr>
            <w:r/>
            <w:r>
              <w:rPr>
                <w:rFonts w:ascii="Avenir Next" w:hAnsi="Avenir Next"/>
                <w:b w:val="0"/>
                <w:color w:val="1A202C"/>
                <w:sz w:val="18"/>
              </w:rPr>
              <w:t>Use tier logic tied to operating complexity</w:t>
            </w:r>
          </w:p>
        </w:tc>
      </w:tr>
      <w:tr>
        <w:tc>
          <w:tcPr>
            <w:tcW w:type="dxa" w:w="3389"/>
            <w:vAlign w:val="center"/>
          </w:tcPr>
          <w:p>
            <w:pPr>
              <w:jc w:val="left"/>
            </w:pPr>
            <w:r/>
            <w:r>
              <w:rPr>
                <w:rFonts w:ascii="Avenir Next" w:hAnsi="Avenir Next"/>
                <w:b w:val="0"/>
                <w:color w:val="1A202C"/>
                <w:sz w:val="18"/>
              </w:rPr>
              <w:t>Do not let add-ons replace upgrades</w:t>
            </w:r>
          </w:p>
        </w:tc>
        <w:tc>
          <w:tcPr>
            <w:tcW w:type="dxa" w:w="3389"/>
            <w:vAlign w:val="center"/>
          </w:tcPr>
          <w:p>
            <w:pPr>
              <w:jc w:val="left"/>
            </w:pPr>
            <w:r/>
            <w:r>
              <w:rPr>
                <w:rFonts w:ascii="Avenir Next" w:hAnsi="Avenir Next"/>
                <w:b w:val="0"/>
                <w:color w:val="1A202C"/>
                <w:sz w:val="18"/>
              </w:rPr>
              <w:t>Customers should feel a coherent path upward</w:t>
            </w:r>
          </w:p>
        </w:tc>
        <w:tc>
          <w:tcPr>
            <w:tcW w:type="dxa" w:w="3389"/>
            <w:vAlign w:val="center"/>
          </w:tcPr>
          <w:p>
            <w:pPr>
              <w:jc w:val="left"/>
            </w:pPr>
            <w:r/>
            <w:r>
              <w:rPr>
                <w:rFonts w:ascii="Avenir Next" w:hAnsi="Avenir Next"/>
                <w:b w:val="0"/>
                <w:color w:val="1A202C"/>
                <w:sz w:val="18"/>
              </w:rPr>
              <w:t>Add-ons should reinforce, not bypass, tier migration</w:t>
            </w:r>
          </w:p>
        </w:tc>
      </w:tr>
      <w:tr>
        <w:tc>
          <w:tcPr>
            <w:tcW w:type="dxa" w:w="3389"/>
            <w:shd w:fill="F7FAFC"/>
            <w:vAlign w:val="center"/>
          </w:tcPr>
          <w:p>
            <w:pPr>
              <w:jc w:val="left"/>
            </w:pPr>
            <w:r/>
            <w:r>
              <w:rPr>
                <w:rFonts w:ascii="Avenir Next" w:hAnsi="Avenir Next"/>
                <w:b w:val="0"/>
                <w:color w:val="1A202C"/>
                <w:sz w:val="18"/>
              </w:rPr>
              <w:t>Use governance as a premium anchor</w:t>
            </w:r>
          </w:p>
        </w:tc>
        <w:tc>
          <w:tcPr>
            <w:tcW w:type="dxa" w:w="3389"/>
            <w:shd w:fill="F7FAFC"/>
            <w:vAlign w:val="center"/>
          </w:tcPr>
          <w:p>
            <w:pPr>
              <w:jc w:val="left"/>
            </w:pPr>
            <w:r/>
            <w:r>
              <w:rPr>
                <w:rFonts w:ascii="Avenir Next" w:hAnsi="Avenir Next"/>
                <w:b w:val="0"/>
                <w:color w:val="1A202C"/>
                <w:sz w:val="18"/>
              </w:rPr>
              <w:t>Control-sensitive buyers pay for risk reduction</w:t>
            </w:r>
          </w:p>
        </w:tc>
        <w:tc>
          <w:tcPr>
            <w:tcW w:type="dxa" w:w="3389"/>
            <w:shd w:fill="F7FAFC"/>
            <w:vAlign w:val="center"/>
          </w:tcPr>
          <w:p>
            <w:pPr>
              <w:jc w:val="left"/>
            </w:pPr>
            <w:r/>
            <w:r>
              <w:rPr>
                <w:rFonts w:ascii="Avenir Next" w:hAnsi="Avenir Next"/>
                <w:b w:val="0"/>
                <w:color w:val="1A202C"/>
                <w:sz w:val="18"/>
              </w:rPr>
              <w:t>Reserve admin, audit, and compliance depth for upper tiers</w:t>
            </w:r>
          </w:p>
        </w:tc>
      </w:tr>
      <w:tr>
        <w:tc>
          <w:tcPr>
            <w:tcW w:type="dxa" w:w="3389"/>
            <w:vAlign w:val="center"/>
          </w:tcPr>
          <w:p>
            <w:pPr>
              <w:jc w:val="left"/>
            </w:pPr>
            <w:r/>
            <w:r>
              <w:rPr>
                <w:rFonts w:ascii="Avenir Next" w:hAnsi="Avenir Next"/>
                <w:b w:val="0"/>
                <w:color w:val="1A202C"/>
                <w:sz w:val="18"/>
              </w:rPr>
              <w:t>Keep entry friction low</w:t>
            </w:r>
          </w:p>
        </w:tc>
        <w:tc>
          <w:tcPr>
            <w:tcW w:type="dxa" w:w="3389"/>
            <w:vAlign w:val="center"/>
          </w:tcPr>
          <w:p>
            <w:pPr>
              <w:jc w:val="left"/>
            </w:pPr>
            <w:r/>
            <w:r>
              <w:rPr>
                <w:rFonts w:ascii="Avenir Next" w:hAnsi="Avenir Next"/>
                <w:b w:val="0"/>
                <w:color w:val="1A202C"/>
                <w:sz w:val="18"/>
              </w:rPr>
              <w:t>Starter users buy relief first, not platform transformation</w:t>
            </w:r>
          </w:p>
        </w:tc>
        <w:tc>
          <w:tcPr>
            <w:tcW w:type="dxa" w:w="3389"/>
            <w:vAlign w:val="center"/>
          </w:tcPr>
          <w:p>
            <w:pPr>
              <w:jc w:val="left"/>
            </w:pPr>
            <w:r/>
            <w:r>
              <w:rPr>
                <w:rFonts w:ascii="Avenir Next" w:hAnsi="Avenir Next"/>
                <w:b w:val="0"/>
                <w:color w:val="1A202C"/>
                <w:sz w:val="18"/>
              </w:rPr>
              <w:t>Low-friction entry tier with clear next step</w:t>
            </w:r>
          </w:p>
        </w:tc>
      </w:tr>
    </w:tbl>
    <w:p>
      <w:pPr>
        <w:spacing w:after="40"/>
        <w:jc w:val="left"/>
      </w:pPr>
      <w:r>
        <w:rPr>
          <w:rFonts w:ascii="Avenir Next" w:hAnsi="Avenir Next"/>
          <w:b w:val="0"/>
          <w:color w:val="1A202C"/>
          <w:sz w:val="21"/>
        </w:rPr>
      </w:r>
    </w:p>
    <w:p>
      <w:pPr>
        <w:pStyle w:val="Heading1"/>
        <w:spacing w:before="200" w:after="80"/>
      </w:pPr>
      <w:r>
        <w:t>Recommended Tier Architecture</w:t>
      </w:r>
    </w:p>
    <w:p>
      <w:pPr>
        <w:spacing w:after="120"/>
        <w:jc w:val="left"/>
      </w:pPr>
      <w:r>
        <w:rPr>
          <w:rFonts w:ascii="Avenir Next" w:hAnsi="Avenir Next"/>
          <w:b w:val="0"/>
          <w:color w:val="1A202C"/>
          <w:sz w:val="21"/>
        </w:rPr>
        <w:t>The pricing recommendation is a three-tier system aligned to customer maturity rather than a long menu of partial plans. That keeps the pricing story legible while still improving value capture.</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Recommended price ladder</w:t>
      </w:r>
    </w:p>
    <w:tbl>
      <w:tblPr>
        <w:tblW w:type="auto" w:w="0"/>
        <w:jc w:val="left"/>
        <w:tblLayout w:type="autofit"/>
        <w:tblLook w:firstColumn="1" w:firstRow="1" w:lastColumn="0" w:lastRow="0" w:noHBand="0" w:noVBand="1" w:val="04A0"/>
      </w:tblPr>
      <w:tblGrid>
        <w:gridCol w:w="2033"/>
        <w:gridCol w:w="2033"/>
        <w:gridCol w:w="2033"/>
        <w:gridCol w:w="2033"/>
        <w:gridCol w:w="2033"/>
      </w:tblGrid>
      <w:tr>
        <w:tc>
          <w:tcPr>
            <w:tcW w:type="dxa" w:w="2033"/>
            <w:shd w:fill="1A2332"/>
            <w:vAlign w:val="center"/>
          </w:tcPr>
          <w:p>
            <w:pPr>
              <w:jc w:val="center"/>
            </w:pPr>
            <w:r/>
            <w:r>
              <w:rPr>
                <w:rFonts w:ascii="Avenir Next" w:hAnsi="Avenir Next"/>
                <w:b/>
                <w:color w:val="FFFFFF"/>
                <w:sz w:val="19"/>
              </w:rPr>
              <w:t>Tier</w:t>
            </w:r>
          </w:p>
        </w:tc>
        <w:tc>
          <w:tcPr>
            <w:tcW w:type="dxa" w:w="2033"/>
            <w:shd w:fill="1A2332"/>
            <w:vAlign w:val="center"/>
          </w:tcPr>
          <w:p>
            <w:pPr>
              <w:jc w:val="center"/>
            </w:pPr>
            <w:r/>
            <w:r>
              <w:rPr>
                <w:rFonts w:ascii="Avenir Next" w:hAnsi="Avenir Next"/>
                <w:b/>
                <w:color w:val="FFFFFF"/>
                <w:sz w:val="19"/>
              </w:rPr>
              <w:t>Price</w:t>
            </w:r>
          </w:p>
        </w:tc>
        <w:tc>
          <w:tcPr>
            <w:tcW w:type="dxa" w:w="2033"/>
            <w:shd w:fill="1A2332"/>
            <w:vAlign w:val="center"/>
          </w:tcPr>
          <w:p>
            <w:pPr>
              <w:jc w:val="center"/>
            </w:pPr>
            <w:r/>
            <w:r>
              <w:rPr>
                <w:rFonts w:ascii="Avenir Next" w:hAnsi="Avenir Next"/>
                <w:b/>
                <w:color w:val="FFFFFF"/>
                <w:sz w:val="19"/>
              </w:rPr>
              <w:t>Target</w:t>
            </w:r>
          </w:p>
        </w:tc>
        <w:tc>
          <w:tcPr>
            <w:tcW w:type="dxa" w:w="2033"/>
            <w:shd w:fill="1A2332"/>
            <w:vAlign w:val="center"/>
          </w:tcPr>
          <w:p>
            <w:pPr>
              <w:jc w:val="center"/>
            </w:pPr>
            <w:r/>
            <w:r>
              <w:rPr>
                <w:rFonts w:ascii="Avenir Next" w:hAnsi="Avenir Next"/>
                <w:b/>
                <w:color w:val="FFFFFF"/>
                <w:sz w:val="19"/>
              </w:rPr>
              <w:t>Feature logic</w:t>
            </w:r>
          </w:p>
        </w:tc>
        <w:tc>
          <w:tcPr>
            <w:tcW w:type="dxa" w:w="2033"/>
            <w:shd w:fill="1A2332"/>
            <w:vAlign w:val="center"/>
          </w:tcPr>
          <w:p>
            <w:pPr>
              <w:jc w:val="center"/>
            </w:pPr>
            <w:r/>
            <w:r>
              <w:rPr>
                <w:rFonts w:ascii="Avenir Next" w:hAnsi="Avenir Next"/>
                <w:b/>
                <w:color w:val="FFFFFF"/>
                <w:sz w:val="19"/>
              </w:rPr>
              <w:t>Upgrade fence</w:t>
            </w:r>
          </w:p>
        </w:tc>
      </w:tr>
      <w:tr>
        <w:tc>
          <w:tcPr>
            <w:tcW w:type="dxa" w:w="2033"/>
            <w:shd w:fill="F7FAFC"/>
            <w:vAlign w:val="center"/>
          </w:tcPr>
          <w:p>
            <w:pPr>
              <w:jc w:val="left"/>
            </w:pPr>
            <w:r/>
            <w:r>
              <w:rPr>
                <w:rFonts w:ascii="Avenir Next" w:hAnsi="Avenir Next"/>
                <w:b w:val="0"/>
                <w:color w:val="1A202C"/>
                <w:sz w:val="18"/>
              </w:rPr>
              <w:t>Starter</w:t>
            </w:r>
          </w:p>
        </w:tc>
        <w:tc>
          <w:tcPr>
            <w:tcW w:type="dxa" w:w="2033"/>
            <w:shd w:fill="F7FAFC"/>
            <w:vAlign w:val="center"/>
          </w:tcPr>
          <w:p>
            <w:pPr>
              <w:jc w:val="left"/>
            </w:pPr>
            <w:r/>
            <w:r>
              <w:rPr>
                <w:rFonts w:ascii="Avenir Next" w:hAnsi="Avenir Next"/>
                <w:b w:val="0"/>
                <w:color w:val="1A202C"/>
                <w:sz w:val="18"/>
              </w:rPr>
              <w:t>$49/month</w:t>
            </w:r>
          </w:p>
        </w:tc>
        <w:tc>
          <w:tcPr>
            <w:tcW w:type="dxa" w:w="2033"/>
            <w:shd w:fill="F7FAFC"/>
            <w:vAlign w:val="center"/>
          </w:tcPr>
          <w:p>
            <w:pPr>
              <w:jc w:val="left"/>
            </w:pPr>
            <w:r/>
            <w:r>
              <w:rPr>
                <w:rFonts w:ascii="Avenir Next" w:hAnsi="Avenir Next"/>
                <w:b w:val="0"/>
                <w:color w:val="1A202C"/>
                <w:sz w:val="18"/>
              </w:rPr>
              <w:t>1-5 users</w:t>
            </w:r>
          </w:p>
        </w:tc>
        <w:tc>
          <w:tcPr>
            <w:tcW w:type="dxa" w:w="2033"/>
            <w:shd w:fill="F7FAFC"/>
            <w:vAlign w:val="center"/>
          </w:tcPr>
          <w:p>
            <w:pPr>
              <w:jc w:val="left"/>
            </w:pPr>
            <w:r/>
            <w:r>
              <w:rPr>
                <w:rFonts w:ascii="Avenir Next" w:hAnsi="Avenir Next"/>
                <w:b w:val="0"/>
                <w:color w:val="1A202C"/>
                <w:sz w:val="18"/>
              </w:rPr>
              <w:t>Core workflow, limited integrations</w:t>
            </w:r>
          </w:p>
        </w:tc>
        <w:tc>
          <w:tcPr>
            <w:tcW w:type="dxa" w:w="2033"/>
            <w:shd w:fill="F7FAFC"/>
            <w:vAlign w:val="center"/>
          </w:tcPr>
          <w:p>
            <w:pPr>
              <w:jc w:val="left"/>
            </w:pPr>
            <w:r/>
            <w:r>
              <w:rPr>
                <w:rFonts w:ascii="Avenir Next" w:hAnsi="Avenir Next"/>
                <w:b w:val="0"/>
                <w:color w:val="1A202C"/>
                <w:sz w:val="18"/>
              </w:rPr>
              <w:t>Upgrade when collaboration or connectivity matters</w:t>
            </w:r>
          </w:p>
        </w:tc>
      </w:tr>
      <w:tr>
        <w:tc>
          <w:tcPr>
            <w:tcW w:type="dxa" w:w="2033"/>
            <w:vAlign w:val="center"/>
          </w:tcPr>
          <w:p>
            <w:pPr>
              <w:jc w:val="left"/>
            </w:pPr>
            <w:r/>
            <w:r>
              <w:rPr>
                <w:rFonts w:ascii="Avenir Next" w:hAnsi="Avenir Next"/>
                <w:b w:val="0"/>
                <w:color w:val="1A202C"/>
                <w:sz w:val="18"/>
              </w:rPr>
              <w:t>Professional</w:t>
            </w:r>
          </w:p>
        </w:tc>
        <w:tc>
          <w:tcPr>
            <w:tcW w:type="dxa" w:w="2033"/>
            <w:vAlign w:val="center"/>
          </w:tcPr>
          <w:p>
            <w:pPr>
              <w:jc w:val="left"/>
            </w:pPr>
            <w:r/>
            <w:r>
              <w:rPr>
                <w:rFonts w:ascii="Avenir Next" w:hAnsi="Avenir Next"/>
                <w:b w:val="0"/>
                <w:color w:val="1A202C"/>
                <w:sz w:val="18"/>
              </w:rPr>
              <w:t>$149/month</w:t>
            </w:r>
          </w:p>
        </w:tc>
        <w:tc>
          <w:tcPr>
            <w:tcW w:type="dxa" w:w="2033"/>
            <w:vAlign w:val="center"/>
          </w:tcPr>
          <w:p>
            <w:pPr>
              <w:jc w:val="left"/>
            </w:pPr>
            <w:r/>
            <w:r>
              <w:rPr>
                <w:rFonts w:ascii="Avenir Next" w:hAnsi="Avenir Next"/>
                <w:b w:val="0"/>
                <w:color w:val="1A202C"/>
                <w:sz w:val="18"/>
              </w:rPr>
              <w:t>6-25 users</w:t>
            </w:r>
          </w:p>
        </w:tc>
        <w:tc>
          <w:tcPr>
            <w:tcW w:type="dxa" w:w="2033"/>
            <w:vAlign w:val="center"/>
          </w:tcPr>
          <w:p>
            <w:pPr>
              <w:jc w:val="left"/>
            </w:pPr>
            <w:r/>
            <w:r>
              <w:rPr>
                <w:rFonts w:ascii="Avenir Next" w:hAnsi="Avenir Next"/>
                <w:b w:val="0"/>
                <w:color w:val="1A202C"/>
                <w:sz w:val="18"/>
              </w:rPr>
              <w:t>All integrations, collaboration, broader workflow depth</w:t>
            </w:r>
          </w:p>
        </w:tc>
        <w:tc>
          <w:tcPr>
            <w:tcW w:type="dxa" w:w="2033"/>
            <w:vAlign w:val="center"/>
          </w:tcPr>
          <w:p>
            <w:pPr>
              <w:jc w:val="left"/>
            </w:pPr>
            <w:r/>
            <w:r>
              <w:rPr>
                <w:rFonts w:ascii="Avenir Next" w:hAnsi="Avenir Next"/>
                <w:b w:val="0"/>
                <w:color w:val="1A202C"/>
                <w:sz w:val="18"/>
              </w:rPr>
              <w:t>Upgrade when admin and governance matter</w:t>
            </w:r>
          </w:p>
        </w:tc>
      </w:tr>
      <w:tr>
        <w:tc>
          <w:tcPr>
            <w:tcW w:type="dxa" w:w="2033"/>
            <w:shd w:fill="F7FAFC"/>
            <w:vAlign w:val="center"/>
          </w:tcPr>
          <w:p>
            <w:pPr>
              <w:jc w:val="left"/>
            </w:pPr>
            <w:r/>
            <w:r>
              <w:rPr>
                <w:rFonts w:ascii="Avenir Next" w:hAnsi="Avenir Next"/>
                <w:b w:val="0"/>
                <w:color w:val="1A202C"/>
                <w:sz w:val="18"/>
              </w:rPr>
              <w:t>Business</w:t>
            </w:r>
          </w:p>
        </w:tc>
        <w:tc>
          <w:tcPr>
            <w:tcW w:type="dxa" w:w="2033"/>
            <w:shd w:fill="F7FAFC"/>
            <w:vAlign w:val="center"/>
          </w:tcPr>
          <w:p>
            <w:pPr>
              <w:jc w:val="left"/>
            </w:pPr>
            <w:r/>
            <w:r>
              <w:rPr>
                <w:rFonts w:ascii="Avenir Next" w:hAnsi="Avenir Next"/>
                <w:b w:val="0"/>
                <w:color w:val="1A202C"/>
                <w:sz w:val="18"/>
              </w:rPr>
              <w:t>$399/month</w:t>
            </w:r>
          </w:p>
        </w:tc>
        <w:tc>
          <w:tcPr>
            <w:tcW w:type="dxa" w:w="2033"/>
            <w:shd w:fill="F7FAFC"/>
            <w:vAlign w:val="center"/>
          </w:tcPr>
          <w:p>
            <w:pPr>
              <w:jc w:val="left"/>
            </w:pPr>
            <w:r/>
            <w:r>
              <w:rPr>
                <w:rFonts w:ascii="Avenir Next" w:hAnsi="Avenir Next"/>
                <w:b w:val="0"/>
                <w:color w:val="1A202C"/>
                <w:sz w:val="18"/>
              </w:rPr>
              <w:t>26-100 users</w:t>
            </w:r>
          </w:p>
        </w:tc>
        <w:tc>
          <w:tcPr>
            <w:tcW w:type="dxa" w:w="2033"/>
            <w:shd w:fill="F7FAFC"/>
            <w:vAlign w:val="center"/>
          </w:tcPr>
          <w:p>
            <w:pPr>
              <w:jc w:val="left"/>
            </w:pPr>
            <w:r/>
            <w:r>
              <w:rPr>
                <w:rFonts w:ascii="Avenir Next" w:hAnsi="Avenir Next"/>
                <w:b w:val="0"/>
                <w:color w:val="1A202C"/>
                <w:sz w:val="18"/>
              </w:rPr>
              <w:t>Compliance, admin controls, custom integrations</w:t>
            </w:r>
          </w:p>
        </w:tc>
        <w:tc>
          <w:tcPr>
            <w:tcW w:type="dxa" w:w="2033"/>
            <w:shd w:fill="F7FAFC"/>
            <w:vAlign w:val="center"/>
          </w:tcPr>
          <w:p>
            <w:pPr>
              <w:jc w:val="left"/>
            </w:pPr>
            <w:r/>
            <w:r>
              <w:rPr>
                <w:rFonts w:ascii="Avenir Next" w:hAnsi="Avenir Next"/>
                <w:b w:val="0"/>
                <w:color w:val="1A202C"/>
                <w:sz w:val="18"/>
              </w:rPr>
              <w:t>Highest governance tier</w:t>
            </w:r>
          </w:p>
        </w:tc>
      </w:tr>
    </w:tbl>
    <w:p>
      <w:pPr>
        <w:spacing w:after="40"/>
        <w:jc w:val="left"/>
      </w:pPr>
      <w:r>
        <w:rPr>
          <w:rFonts w:ascii="Avenir Next" w:hAnsi="Avenir Next"/>
          <w:b w:val="0"/>
          <w:color w:val="1A202C"/>
          <w:sz w:val="21"/>
        </w:rPr>
      </w:r>
    </w:p>
    <w:p>
      <w:pPr>
        <w:pStyle w:val="Heading1"/>
        <w:spacing w:before="200" w:after="80"/>
      </w:pPr>
      <w:r>
        <w:t>Packaging Rules</w:t>
      </w:r>
    </w:p>
    <w:p>
      <w:pPr>
        <w:spacing w:after="120"/>
        <w:jc w:val="left"/>
      </w:pPr>
      <w:r>
        <w:rPr>
          <w:rFonts w:ascii="Avenir Next" w:hAnsi="Avenir Next"/>
          <w:b w:val="0"/>
          <w:color w:val="1A202C"/>
          <w:sz w:val="21"/>
        </w:rPr>
        <w:t>Packaging choices determine whether the price ladder feels fair. The system should therefore use billing logic, trials, and add-ons to reinforce the segment progression instead of creating exceptions too early.</w:t>
      </w:r>
    </w:p>
    <w:p>
      <w:pPr>
        <w:pStyle w:val="ListBullet"/>
        <w:spacing w:after="40"/>
      </w:pPr>
      <w:r>
        <w:rPr>
          <w:rFonts w:ascii="Avenir Next" w:hAnsi="Avenir Next"/>
          <w:color w:val="1A202C"/>
          <w:sz w:val="20"/>
        </w:rPr>
        <w:t>Annual billing as default, monthly billing at a premium.</w:t>
      </w:r>
    </w:p>
    <w:p>
      <w:pPr>
        <w:pStyle w:val="ListBullet"/>
        <w:spacing w:after="40"/>
      </w:pPr>
      <w:r>
        <w:rPr>
          <w:rFonts w:ascii="Avenir Next" w:hAnsi="Avenir Next"/>
          <w:color w:val="1A202C"/>
          <w:sz w:val="20"/>
        </w:rPr>
        <w:t>Longer trials for Professional and Business to accommodate setup and integration work.</w:t>
      </w:r>
    </w:p>
    <w:p>
      <w:pPr>
        <w:pStyle w:val="ListBullet"/>
        <w:spacing w:after="40"/>
      </w:pPr>
      <w:r>
        <w:rPr>
          <w:rFonts w:ascii="Avenir Next" w:hAnsi="Avenir Next"/>
          <w:color w:val="1A202C"/>
          <w:sz w:val="20"/>
        </w:rPr>
        <w:t>Targeted add-on logic only where it creates a pre-upgrade path rather than a substitute for upgrading.</w:t>
      </w:r>
    </w:p>
    <w:p>
      <w:pPr>
        <w:pStyle w:val="ListBullet"/>
        <w:spacing w:after="40"/>
      </w:pPr>
      <w:r>
        <w:rPr>
          <w:rFonts w:ascii="Avenir Next" w:hAnsi="Avenir Next"/>
          <w:color w:val="1A202C"/>
          <w:sz w:val="20"/>
        </w:rPr>
        <w:t>Feature fences should reflect workflow maturity and governance needs, not arbitrary feature withholding.</w:t>
      </w:r>
    </w:p>
    <w:p>
      <w:pPr>
        <w:pStyle w:val="Heading1"/>
        <w:spacing w:before="200" w:after="80"/>
      </w:pPr>
      <w:r>
        <w:t>Rollout and Experiment Plan</w:t>
      </w:r>
    </w:p>
    <w:p>
      <w:pPr>
        <w:spacing w:after="120"/>
        <w:jc w:val="left"/>
      </w:pPr>
      <w:r>
        <w:rPr>
          <w:rFonts w:ascii="Avenir Next" w:hAnsi="Avenir Next"/>
          <w:b w:val="0"/>
          <w:color w:val="1A202C"/>
          <w:sz w:val="21"/>
        </w:rPr>
        <w:t>The proposed price ladder should not be rolled out as a blind full migration. It should move through staged tests that protect conversion while improving signal quality on willingness to pay and upgrade behavior.</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Validation waves</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1A2332"/>
            <w:vAlign w:val="center"/>
          </w:tcPr>
          <w:p>
            <w:pPr>
              <w:jc w:val="center"/>
            </w:pPr>
            <w:r/>
            <w:r>
              <w:rPr>
                <w:rFonts w:ascii="Avenir Next" w:hAnsi="Avenir Next"/>
                <w:b/>
                <w:color w:val="FFFFFF"/>
                <w:sz w:val="19"/>
              </w:rPr>
              <w:t>Wave</w:t>
            </w:r>
          </w:p>
        </w:tc>
        <w:tc>
          <w:tcPr>
            <w:tcW w:type="dxa" w:w="2541"/>
            <w:shd w:fill="1A2332"/>
            <w:vAlign w:val="center"/>
          </w:tcPr>
          <w:p>
            <w:pPr>
              <w:jc w:val="center"/>
            </w:pPr>
            <w:r/>
            <w:r>
              <w:rPr>
                <w:rFonts w:ascii="Avenir Next" w:hAnsi="Avenir Next"/>
                <w:b/>
                <w:color w:val="FFFFFF"/>
                <w:sz w:val="19"/>
              </w:rPr>
              <w:t>Test</w:t>
            </w:r>
          </w:p>
        </w:tc>
        <w:tc>
          <w:tcPr>
            <w:tcW w:type="dxa" w:w="2541"/>
            <w:shd w:fill="1A2332"/>
            <w:vAlign w:val="center"/>
          </w:tcPr>
          <w:p>
            <w:pPr>
              <w:jc w:val="center"/>
            </w:pPr>
            <w:r/>
            <w:r>
              <w:rPr>
                <w:rFonts w:ascii="Avenir Next" w:hAnsi="Avenir Next"/>
                <w:b/>
                <w:color w:val="FFFFFF"/>
                <w:sz w:val="19"/>
              </w:rPr>
              <w:t>Primary metric</w:t>
            </w:r>
          </w:p>
        </w:tc>
        <w:tc>
          <w:tcPr>
            <w:tcW w:type="dxa" w:w="2541"/>
            <w:shd w:fill="1A2332"/>
            <w:vAlign w:val="center"/>
          </w:tcPr>
          <w:p>
            <w:pPr>
              <w:jc w:val="center"/>
            </w:pPr>
            <w:r/>
            <w:r>
              <w:rPr>
                <w:rFonts w:ascii="Avenir Next" w:hAnsi="Avenir Next"/>
                <w:b/>
                <w:color w:val="FFFFFF"/>
                <w:sz w:val="19"/>
              </w:rPr>
              <w:t>Decision rule</w:t>
            </w:r>
          </w:p>
        </w:tc>
      </w:tr>
      <w:tr>
        <w:tc>
          <w:tcPr>
            <w:tcW w:type="dxa" w:w="2541"/>
            <w:shd w:fill="F7FAFC"/>
            <w:vAlign w:val="center"/>
          </w:tcPr>
          <w:p>
            <w:pPr>
              <w:jc w:val="left"/>
            </w:pPr>
            <w:r/>
            <w:r>
              <w:rPr>
                <w:rFonts w:ascii="Avenir Next" w:hAnsi="Avenir Next"/>
                <w:b w:val="0"/>
                <w:color w:val="1A202C"/>
                <w:sz w:val="18"/>
              </w:rPr>
              <w:t>1</w:t>
            </w:r>
          </w:p>
        </w:tc>
        <w:tc>
          <w:tcPr>
            <w:tcW w:type="dxa" w:w="2541"/>
            <w:shd w:fill="F7FAFC"/>
            <w:vAlign w:val="center"/>
          </w:tcPr>
          <w:p>
            <w:pPr>
              <w:jc w:val="left"/>
            </w:pPr>
            <w:r/>
            <w:r>
              <w:rPr>
                <w:rFonts w:ascii="Avenir Next" w:hAnsi="Avenir Next"/>
                <w:b w:val="0"/>
                <w:color w:val="1A202C"/>
                <w:sz w:val="18"/>
              </w:rPr>
              <w:t>Pricing-page A/B test</w:t>
            </w:r>
          </w:p>
        </w:tc>
        <w:tc>
          <w:tcPr>
            <w:tcW w:type="dxa" w:w="2541"/>
            <w:shd w:fill="F7FAFC"/>
            <w:vAlign w:val="center"/>
          </w:tcPr>
          <w:p>
            <w:pPr>
              <w:jc w:val="left"/>
            </w:pPr>
            <w:r/>
            <w:r>
              <w:rPr>
                <w:rFonts w:ascii="Avenir Next" w:hAnsi="Avenir Next"/>
                <w:b w:val="0"/>
                <w:color w:val="1A202C"/>
                <w:sz w:val="18"/>
              </w:rPr>
              <w:t>Starter and Professional conversion</w:t>
            </w:r>
          </w:p>
        </w:tc>
        <w:tc>
          <w:tcPr>
            <w:tcW w:type="dxa" w:w="2541"/>
            <w:shd w:fill="F7FAFC"/>
            <w:vAlign w:val="center"/>
          </w:tcPr>
          <w:p>
            <w:pPr>
              <w:jc w:val="left"/>
            </w:pPr>
            <w:r/>
            <w:r>
              <w:rPr>
                <w:rFonts w:ascii="Avenir Next" w:hAnsi="Avenir Next"/>
                <w:b w:val="0"/>
                <w:color w:val="1A202C"/>
                <w:sz w:val="18"/>
              </w:rPr>
              <w:t>Keep only if entry conversion remains stable</w:t>
            </w:r>
          </w:p>
        </w:tc>
      </w:tr>
      <w:tr>
        <w:tc>
          <w:tcPr>
            <w:tcW w:type="dxa" w:w="2541"/>
            <w:vAlign w:val="center"/>
          </w:tcPr>
          <w:p>
            <w:pPr>
              <w:jc w:val="left"/>
            </w:pPr>
            <w:r/>
            <w:r>
              <w:rPr>
                <w:rFonts w:ascii="Avenir Next" w:hAnsi="Avenir Next"/>
                <w:b w:val="0"/>
                <w:color w:val="1A202C"/>
                <w:sz w:val="18"/>
              </w:rPr>
              <w:t>2</w:t>
            </w:r>
          </w:p>
        </w:tc>
        <w:tc>
          <w:tcPr>
            <w:tcW w:type="dxa" w:w="2541"/>
            <w:vAlign w:val="center"/>
          </w:tcPr>
          <w:p>
            <w:pPr>
              <w:jc w:val="left"/>
            </w:pPr>
            <w:r/>
            <w:r>
              <w:rPr>
                <w:rFonts w:ascii="Avenir Next" w:hAnsi="Avenir Next"/>
                <w:b w:val="0"/>
                <w:color w:val="1A202C"/>
                <w:sz w:val="18"/>
              </w:rPr>
              <w:t>Trial-to-tier routing</w:t>
            </w:r>
          </w:p>
        </w:tc>
        <w:tc>
          <w:tcPr>
            <w:tcW w:type="dxa" w:w="2541"/>
            <w:vAlign w:val="center"/>
          </w:tcPr>
          <w:p>
            <w:pPr>
              <w:jc w:val="left"/>
            </w:pPr>
            <w:r/>
            <w:r>
              <w:rPr>
                <w:rFonts w:ascii="Avenir Next" w:hAnsi="Avenir Next"/>
                <w:b w:val="0"/>
                <w:color w:val="1A202C"/>
                <w:sz w:val="18"/>
              </w:rPr>
              <w:t>Activation by segment</w:t>
            </w:r>
          </w:p>
        </w:tc>
        <w:tc>
          <w:tcPr>
            <w:tcW w:type="dxa" w:w="2541"/>
            <w:vAlign w:val="center"/>
          </w:tcPr>
          <w:p>
            <w:pPr>
              <w:jc w:val="left"/>
            </w:pPr>
            <w:r/>
            <w:r>
              <w:rPr>
                <w:rFonts w:ascii="Avenir Next" w:hAnsi="Avenir Next"/>
                <w:b w:val="0"/>
                <w:color w:val="1A202C"/>
                <w:sz w:val="18"/>
              </w:rPr>
              <w:t>Retain if each segment shows clearer feature fit</w:t>
            </w:r>
          </w:p>
        </w:tc>
      </w:tr>
      <w:tr>
        <w:tc>
          <w:tcPr>
            <w:tcW w:type="dxa" w:w="2541"/>
            <w:shd w:fill="F7FAFC"/>
            <w:vAlign w:val="center"/>
          </w:tcPr>
          <w:p>
            <w:pPr>
              <w:jc w:val="left"/>
            </w:pPr>
            <w:r/>
            <w:r>
              <w:rPr>
                <w:rFonts w:ascii="Avenir Next" w:hAnsi="Avenir Next"/>
                <w:b w:val="0"/>
                <w:color w:val="1A202C"/>
                <w:sz w:val="18"/>
              </w:rPr>
              <w:t>3</w:t>
            </w:r>
          </w:p>
        </w:tc>
        <w:tc>
          <w:tcPr>
            <w:tcW w:type="dxa" w:w="2541"/>
            <w:shd w:fill="F7FAFC"/>
            <w:vAlign w:val="center"/>
          </w:tcPr>
          <w:p>
            <w:pPr>
              <w:jc w:val="left"/>
            </w:pPr>
            <w:r/>
            <w:r>
              <w:rPr>
                <w:rFonts w:ascii="Avenir Next" w:hAnsi="Avenir Next"/>
                <w:b w:val="0"/>
                <w:color w:val="1A202C"/>
                <w:sz w:val="18"/>
              </w:rPr>
              <w:t>Controlled migration of existing accounts</w:t>
            </w:r>
          </w:p>
        </w:tc>
        <w:tc>
          <w:tcPr>
            <w:tcW w:type="dxa" w:w="2541"/>
            <w:shd w:fill="F7FAFC"/>
            <w:vAlign w:val="center"/>
          </w:tcPr>
          <w:p>
            <w:pPr>
              <w:jc w:val="left"/>
            </w:pPr>
            <w:r/>
            <w:r>
              <w:rPr>
                <w:rFonts w:ascii="Avenir Next" w:hAnsi="Avenir Next"/>
                <w:b w:val="0"/>
                <w:color w:val="1A202C"/>
                <w:sz w:val="18"/>
              </w:rPr>
              <w:t>Expansion and downgrade behavior</w:t>
            </w:r>
          </w:p>
        </w:tc>
        <w:tc>
          <w:tcPr>
            <w:tcW w:type="dxa" w:w="2541"/>
            <w:shd w:fill="F7FAFC"/>
            <w:vAlign w:val="center"/>
          </w:tcPr>
          <w:p>
            <w:pPr>
              <w:jc w:val="left"/>
            </w:pPr>
            <w:r/>
            <w:r>
              <w:rPr>
                <w:rFonts w:ascii="Avenir Next" w:hAnsi="Avenir Next"/>
                <w:b w:val="0"/>
                <w:color w:val="1A202C"/>
                <w:sz w:val="18"/>
              </w:rPr>
              <w:t>Scale only if net revenue retention improves</w:t>
            </w:r>
          </w:p>
        </w:tc>
      </w:tr>
      <w:tr>
        <w:tc>
          <w:tcPr>
            <w:tcW w:type="dxa" w:w="2541"/>
            <w:vAlign w:val="center"/>
          </w:tcPr>
          <w:p>
            <w:pPr>
              <w:jc w:val="left"/>
            </w:pPr>
            <w:r/>
            <w:r>
              <w:rPr>
                <w:rFonts w:ascii="Avenir Next" w:hAnsi="Avenir Next"/>
                <w:b w:val="0"/>
                <w:color w:val="1A202C"/>
                <w:sz w:val="18"/>
              </w:rPr>
              <w:t>4</w:t>
            </w:r>
          </w:p>
        </w:tc>
        <w:tc>
          <w:tcPr>
            <w:tcW w:type="dxa" w:w="2541"/>
            <w:vAlign w:val="center"/>
          </w:tcPr>
          <w:p>
            <w:pPr>
              <w:jc w:val="left"/>
            </w:pPr>
            <w:r/>
            <w:r>
              <w:rPr>
                <w:rFonts w:ascii="Avenir Next" w:hAnsi="Avenir Next"/>
                <w:b w:val="0"/>
                <w:color w:val="1A202C"/>
                <w:sz w:val="18"/>
              </w:rPr>
              <w:t>Enterprise packaging interviews</w:t>
            </w:r>
          </w:p>
        </w:tc>
        <w:tc>
          <w:tcPr>
            <w:tcW w:type="dxa" w:w="2541"/>
            <w:vAlign w:val="center"/>
          </w:tcPr>
          <w:p>
            <w:pPr>
              <w:jc w:val="left"/>
            </w:pPr>
            <w:r/>
            <w:r>
              <w:rPr>
                <w:rFonts w:ascii="Avenir Next" w:hAnsi="Avenir Next"/>
                <w:b w:val="0"/>
                <w:color w:val="1A202C"/>
                <w:sz w:val="18"/>
              </w:rPr>
              <w:t>Perceived governance value</w:t>
            </w:r>
          </w:p>
        </w:tc>
        <w:tc>
          <w:tcPr>
            <w:tcW w:type="dxa" w:w="2541"/>
            <w:vAlign w:val="center"/>
          </w:tcPr>
          <w:p>
            <w:pPr>
              <w:jc w:val="left"/>
            </w:pPr>
            <w:r/>
            <w:r>
              <w:rPr>
                <w:rFonts w:ascii="Avenir Next" w:hAnsi="Avenir Next"/>
                <w:b w:val="0"/>
                <w:color w:val="1A202C"/>
                <w:sz w:val="18"/>
              </w:rPr>
              <w:t>Adjust Business tier if governance premium remains unclear</w:t>
            </w:r>
          </w:p>
        </w:tc>
      </w:tr>
    </w:tbl>
    <w:p>
      <w:pPr>
        <w:spacing w:after="40"/>
        <w:jc w:val="left"/>
      </w:pPr>
      <w:r>
        <w:rPr>
          <w:rFonts w:ascii="Avenir Next" w:hAnsi="Avenir Next"/>
          <w:b w:val="0"/>
          <w:color w:val="1A202C"/>
          <w:sz w:val="21"/>
        </w:rPr>
      </w:r>
    </w:p>
    <w:p>
      <w:pPr>
        <w:pStyle w:val="Heading1"/>
        <w:spacing w:before="200" w:after="80"/>
      </w:pPr>
      <w:r>
        <w:t>Expected Impact and Validation</w:t>
      </w:r>
    </w:p>
    <w:p>
      <w:pPr>
        <w:spacing w:after="120"/>
        <w:jc w:val="left"/>
      </w:pPr>
      <w:r>
        <w:rPr>
          <w:rFonts w:ascii="Avenir Next" w:hAnsi="Avenir Next"/>
          <w:b w:val="0"/>
          <w:color w:val="1A202C"/>
          <w:sz w:val="21"/>
        </w:rPr>
        <w:t>Pricing recommendations should be treated as hypotheses until validated. The proposed structure is intended to increase ARPU and expansion revenue while reducing friction at both ends of the customer base.</w:t>
      </w:r>
    </w:p>
    <w:p>
      <w:pPr>
        <w:pStyle w:val="ListBullet"/>
        <w:spacing w:after="40"/>
      </w:pPr>
      <w:r>
        <w:rPr>
          <w:rFonts w:ascii="Avenir Next" w:hAnsi="Avenir Next"/>
          <w:color w:val="1A202C"/>
          <w:sz w:val="20"/>
        </w:rPr>
        <w:t>Validation track 1: price-sensitivity survey with trial or low-usage users</w:t>
      </w:r>
    </w:p>
    <w:p>
      <w:pPr>
        <w:pStyle w:val="ListBullet"/>
        <w:spacing w:after="40"/>
      </w:pPr>
      <w:r>
        <w:rPr>
          <w:rFonts w:ascii="Avenir Next" w:hAnsi="Avenir Next"/>
          <w:color w:val="1A202C"/>
          <w:sz w:val="20"/>
        </w:rPr>
        <w:t>Validation track 2: pricing-page test against current offer</w:t>
      </w:r>
    </w:p>
    <w:p>
      <w:pPr>
        <w:pStyle w:val="ListBullet"/>
        <w:spacing w:after="40"/>
      </w:pPr>
      <w:r>
        <w:rPr>
          <w:rFonts w:ascii="Avenir Next" w:hAnsi="Avenir Next"/>
          <w:color w:val="1A202C"/>
          <w:sz w:val="20"/>
        </w:rPr>
        <w:t>Validation track 3: pilot migration with high-usage accounts</w:t>
      </w:r>
    </w:p>
    <w:p>
      <w:pPr>
        <w:pStyle w:val="ListBullet"/>
        <w:spacing w:after="40"/>
      </w:pPr>
      <w:r>
        <w:rPr>
          <w:rFonts w:ascii="Avenir Next" w:hAnsi="Avenir Next"/>
          <w:color w:val="1A202C"/>
          <w:sz w:val="20"/>
        </w:rPr>
        <w:t>Validation track 4: enterprise-call feedback on packaging clarity</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Illustrative expected impact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shd w:fill="1A2332"/>
            <w:vAlign w:val="center"/>
          </w:tcPr>
          <w:p>
            <w:pPr>
              <w:jc w:val="center"/>
            </w:pPr>
            <w:r/>
            <w:r>
              <w:rPr>
                <w:rFonts w:ascii="Avenir Next" w:hAnsi="Avenir Next"/>
                <w:b/>
                <w:color w:val="FFFFFF"/>
                <w:sz w:val="19"/>
              </w:rPr>
              <w:t>Metric</w:t>
            </w:r>
          </w:p>
        </w:tc>
        <w:tc>
          <w:tcPr>
            <w:tcW w:type="dxa" w:w="2541"/>
            <w:shd w:fill="1A2332"/>
            <w:vAlign w:val="center"/>
          </w:tcPr>
          <w:p>
            <w:pPr>
              <w:jc w:val="center"/>
            </w:pPr>
            <w:r/>
            <w:r>
              <w:rPr>
                <w:rFonts w:ascii="Avenir Next" w:hAnsi="Avenir Next"/>
                <w:b/>
                <w:color w:val="FFFFFF"/>
                <w:sz w:val="19"/>
              </w:rPr>
              <w:t>Current</w:t>
            </w:r>
          </w:p>
        </w:tc>
        <w:tc>
          <w:tcPr>
            <w:tcW w:type="dxa" w:w="2541"/>
            <w:shd w:fill="1A2332"/>
            <w:vAlign w:val="center"/>
          </w:tcPr>
          <w:p>
            <w:pPr>
              <w:jc w:val="center"/>
            </w:pPr>
            <w:r/>
            <w:r>
              <w:rPr>
                <w:rFonts w:ascii="Avenir Next" w:hAnsi="Avenir Next"/>
                <w:b/>
                <w:color w:val="FFFFFF"/>
                <w:sz w:val="19"/>
              </w:rPr>
              <w:t>Projected</w:t>
            </w:r>
          </w:p>
        </w:tc>
        <w:tc>
          <w:tcPr>
            <w:tcW w:type="dxa" w:w="2541"/>
            <w:shd w:fill="1A2332"/>
            <w:vAlign w:val="center"/>
          </w:tcPr>
          <w:p>
            <w:pPr>
              <w:jc w:val="center"/>
            </w:pPr>
            <w:r/>
            <w:r>
              <w:rPr>
                <w:rFonts w:ascii="Avenir Next" w:hAnsi="Avenir Next"/>
                <w:b/>
                <w:color w:val="FFFFFF"/>
                <w:sz w:val="19"/>
              </w:rPr>
              <w:t>Assumption logic</w:t>
            </w:r>
          </w:p>
        </w:tc>
      </w:tr>
      <w:tr>
        <w:tc>
          <w:tcPr>
            <w:tcW w:type="dxa" w:w="2541"/>
            <w:shd w:fill="F7FAFC"/>
            <w:vAlign w:val="center"/>
          </w:tcPr>
          <w:p>
            <w:pPr>
              <w:jc w:val="left"/>
            </w:pPr>
            <w:r/>
            <w:r>
              <w:rPr>
                <w:rFonts w:ascii="Avenir Next" w:hAnsi="Avenir Next"/>
                <w:b w:val="0"/>
                <w:color w:val="1A202C"/>
                <w:sz w:val="18"/>
              </w:rPr>
              <w:t>ARPU</w:t>
            </w:r>
          </w:p>
        </w:tc>
        <w:tc>
          <w:tcPr>
            <w:tcW w:type="dxa" w:w="2541"/>
            <w:shd w:fill="F7FAFC"/>
            <w:vAlign w:val="center"/>
          </w:tcPr>
          <w:p>
            <w:pPr>
              <w:jc w:val="left"/>
            </w:pPr>
            <w:r/>
            <w:r>
              <w:rPr>
                <w:rFonts w:ascii="Avenir Next" w:hAnsi="Avenir Next"/>
                <w:b w:val="0"/>
                <w:color w:val="1A202C"/>
                <w:sz w:val="18"/>
              </w:rPr>
              <w:t>$99</w:t>
            </w:r>
          </w:p>
        </w:tc>
        <w:tc>
          <w:tcPr>
            <w:tcW w:type="dxa" w:w="2541"/>
            <w:shd w:fill="F7FAFC"/>
            <w:vAlign w:val="center"/>
          </w:tcPr>
          <w:p>
            <w:pPr>
              <w:jc w:val="left"/>
            </w:pPr>
            <w:r/>
            <w:r>
              <w:rPr>
                <w:rFonts w:ascii="Avenir Next" w:hAnsi="Avenir Next"/>
                <w:b w:val="0"/>
                <w:color w:val="1A202C"/>
                <w:sz w:val="18"/>
              </w:rPr>
              <w:t>$135-145</w:t>
            </w:r>
          </w:p>
        </w:tc>
        <w:tc>
          <w:tcPr>
            <w:tcW w:type="dxa" w:w="2541"/>
            <w:shd w:fill="F7FAFC"/>
            <w:vAlign w:val="center"/>
          </w:tcPr>
          <w:p>
            <w:pPr>
              <w:jc w:val="left"/>
            </w:pPr>
            <w:r/>
            <w:r>
              <w:rPr>
                <w:rFonts w:ascii="Avenir Next" w:hAnsi="Avenir Next"/>
                <w:b w:val="0"/>
                <w:color w:val="1A202C"/>
                <w:sz w:val="18"/>
              </w:rPr>
              <w:t>Better capture across larger and mid-market customers</w:t>
            </w:r>
          </w:p>
        </w:tc>
      </w:tr>
      <w:tr>
        <w:tc>
          <w:tcPr>
            <w:tcW w:type="dxa" w:w="2541"/>
            <w:vAlign w:val="center"/>
          </w:tcPr>
          <w:p>
            <w:pPr>
              <w:jc w:val="left"/>
            </w:pPr>
            <w:r/>
            <w:r>
              <w:rPr>
                <w:rFonts w:ascii="Avenir Next" w:hAnsi="Avenir Next"/>
                <w:b w:val="0"/>
                <w:color w:val="1A202C"/>
                <w:sz w:val="18"/>
              </w:rPr>
              <w:t>Monthly churn</w:t>
            </w:r>
          </w:p>
        </w:tc>
        <w:tc>
          <w:tcPr>
            <w:tcW w:type="dxa" w:w="2541"/>
            <w:vAlign w:val="center"/>
          </w:tcPr>
          <w:p>
            <w:pPr>
              <w:jc w:val="left"/>
            </w:pPr>
            <w:r/>
            <w:r>
              <w:rPr>
                <w:rFonts w:ascii="Avenir Next" w:hAnsi="Avenir Next"/>
                <w:b w:val="0"/>
                <w:color w:val="1A202C"/>
                <w:sz w:val="18"/>
              </w:rPr>
              <w:t>4.2%</w:t>
            </w:r>
          </w:p>
        </w:tc>
        <w:tc>
          <w:tcPr>
            <w:tcW w:type="dxa" w:w="2541"/>
            <w:vAlign w:val="center"/>
          </w:tcPr>
          <w:p>
            <w:pPr>
              <w:jc w:val="left"/>
            </w:pPr>
            <w:r/>
            <w:r>
              <w:rPr>
                <w:rFonts w:ascii="Avenir Next" w:hAnsi="Avenir Next"/>
                <w:b w:val="0"/>
                <w:color w:val="1A202C"/>
                <w:sz w:val="18"/>
              </w:rPr>
              <w:t>3.5%</w:t>
            </w:r>
          </w:p>
        </w:tc>
        <w:tc>
          <w:tcPr>
            <w:tcW w:type="dxa" w:w="2541"/>
            <w:vAlign w:val="center"/>
          </w:tcPr>
          <w:p>
            <w:pPr>
              <w:jc w:val="left"/>
            </w:pPr>
            <w:r/>
            <w:r>
              <w:rPr>
                <w:rFonts w:ascii="Avenir Next" w:hAnsi="Avenir Next"/>
                <w:b w:val="0"/>
                <w:color w:val="1A202C"/>
                <w:sz w:val="18"/>
              </w:rPr>
              <w:t>Improved feature-value alignment by segment</w:t>
            </w:r>
          </w:p>
        </w:tc>
      </w:tr>
      <w:tr>
        <w:tc>
          <w:tcPr>
            <w:tcW w:type="dxa" w:w="2541"/>
            <w:shd w:fill="F7FAFC"/>
            <w:vAlign w:val="center"/>
          </w:tcPr>
          <w:p>
            <w:pPr>
              <w:jc w:val="left"/>
            </w:pPr>
            <w:r/>
            <w:r>
              <w:rPr>
                <w:rFonts w:ascii="Avenir Next" w:hAnsi="Avenir Next"/>
                <w:b w:val="0"/>
                <w:color w:val="1A202C"/>
                <w:sz w:val="18"/>
              </w:rPr>
              <w:t>Expansion revenue</w:t>
            </w:r>
          </w:p>
        </w:tc>
        <w:tc>
          <w:tcPr>
            <w:tcW w:type="dxa" w:w="2541"/>
            <w:shd w:fill="F7FAFC"/>
            <w:vAlign w:val="center"/>
          </w:tcPr>
          <w:p>
            <w:pPr>
              <w:jc w:val="left"/>
            </w:pPr>
            <w:r/>
            <w:r>
              <w:rPr>
                <w:rFonts w:ascii="Avenir Next" w:hAnsi="Avenir Next"/>
                <w:b w:val="0"/>
                <w:color w:val="1A202C"/>
                <w:sz w:val="18"/>
              </w:rPr>
              <w:t>5% of MRR</w:t>
            </w:r>
          </w:p>
        </w:tc>
        <w:tc>
          <w:tcPr>
            <w:tcW w:type="dxa" w:w="2541"/>
            <w:shd w:fill="F7FAFC"/>
            <w:vAlign w:val="center"/>
          </w:tcPr>
          <w:p>
            <w:pPr>
              <w:jc w:val="left"/>
            </w:pPr>
            <w:r/>
            <w:r>
              <w:rPr>
                <w:rFonts w:ascii="Avenir Next" w:hAnsi="Avenir Next"/>
                <w:b w:val="0"/>
                <w:color w:val="1A202C"/>
                <w:sz w:val="18"/>
              </w:rPr>
              <w:t>18% of MRR</w:t>
            </w:r>
          </w:p>
        </w:tc>
        <w:tc>
          <w:tcPr>
            <w:tcW w:type="dxa" w:w="2541"/>
            <w:shd w:fill="F7FAFC"/>
            <w:vAlign w:val="center"/>
          </w:tcPr>
          <w:p>
            <w:pPr>
              <w:jc w:val="left"/>
            </w:pPr>
            <w:r/>
            <w:r>
              <w:rPr>
                <w:rFonts w:ascii="Avenir Next" w:hAnsi="Avenir Next"/>
                <w:b w:val="0"/>
                <w:color w:val="1A202C"/>
                <w:sz w:val="18"/>
              </w:rPr>
              <w:t>Clearer upgrade path</w:t>
            </w:r>
          </w:p>
        </w:tc>
      </w:tr>
      <w:tr>
        <w:tc>
          <w:tcPr>
            <w:tcW w:type="dxa" w:w="2541"/>
            <w:vAlign w:val="center"/>
          </w:tcPr>
          <w:p>
            <w:pPr>
              <w:jc w:val="left"/>
            </w:pPr>
            <w:r/>
            <w:r>
              <w:rPr>
                <w:rFonts w:ascii="Avenir Next" w:hAnsi="Avenir Next"/>
                <w:b w:val="0"/>
                <w:color w:val="1A202C"/>
                <w:sz w:val="18"/>
              </w:rPr>
              <w:t>Sales cycle</w:t>
            </w:r>
          </w:p>
        </w:tc>
        <w:tc>
          <w:tcPr>
            <w:tcW w:type="dxa" w:w="2541"/>
            <w:vAlign w:val="center"/>
          </w:tcPr>
          <w:p>
            <w:pPr>
              <w:jc w:val="left"/>
            </w:pPr>
            <w:r/>
            <w:r>
              <w:rPr>
                <w:rFonts w:ascii="Avenir Next" w:hAnsi="Avenir Next"/>
                <w:b w:val="0"/>
                <w:color w:val="1A202C"/>
                <w:sz w:val="18"/>
              </w:rPr>
              <w:t>45 days</w:t>
            </w:r>
          </w:p>
        </w:tc>
        <w:tc>
          <w:tcPr>
            <w:tcW w:type="dxa" w:w="2541"/>
            <w:vAlign w:val="center"/>
          </w:tcPr>
          <w:p>
            <w:pPr>
              <w:jc w:val="left"/>
            </w:pPr>
            <w:r/>
            <w:r>
              <w:rPr>
                <w:rFonts w:ascii="Avenir Next" w:hAnsi="Avenir Next"/>
                <w:b w:val="0"/>
                <w:color w:val="1A202C"/>
                <w:sz w:val="18"/>
              </w:rPr>
              <w:t>30 days</w:t>
            </w:r>
          </w:p>
        </w:tc>
        <w:tc>
          <w:tcPr>
            <w:tcW w:type="dxa" w:w="2541"/>
            <w:vAlign w:val="center"/>
          </w:tcPr>
          <w:p>
            <w:pPr>
              <w:jc w:val="left"/>
            </w:pPr>
            <w:r/>
            <w:r>
              <w:rPr>
                <w:rFonts w:ascii="Avenir Next" w:hAnsi="Avenir Next"/>
                <w:b w:val="0"/>
                <w:color w:val="1A202C"/>
                <w:sz w:val="18"/>
              </w:rPr>
              <w:t>More legible enterprise story</w:t>
            </w:r>
          </w:p>
        </w:tc>
      </w:tr>
    </w:tbl>
    <w:p>
      <w:pPr>
        <w:spacing w:after="40"/>
        <w:jc w:val="left"/>
      </w:pPr>
      <w:r>
        <w:rPr>
          <w:rFonts w:ascii="Avenir Next" w:hAnsi="Avenir Next"/>
          <w:b w:val="0"/>
          <w:color w:val="1A202C"/>
          <w:sz w:val="21"/>
        </w:rPr>
      </w:r>
    </w:p>
    <w:p>
      <w:pPr>
        <w:pStyle w:val="Heading1"/>
        <w:spacing w:before="200" w:after="80"/>
      </w:pPr>
      <w:r>
        <w:t>Evidence Register</w:t>
      </w:r>
    </w:p>
    <w:p>
      <w:pPr>
        <w:spacing w:after="0"/>
        <w:jc w:val="left"/>
      </w:pPr>
      <w:r>
        <w:rPr>
          <w:rFonts w:ascii="Avenir Next" w:hAnsi="Avenir Next"/>
          <w:b w:val="0"/>
          <w:color w:val="1A202C"/>
          <w:sz w:val="21"/>
        </w:rPr>
      </w:r>
    </w:p>
    <w:p>
      <w:pPr>
        <w:spacing w:after="40"/>
        <w:jc w:val="left"/>
      </w:pPr>
      <w:r>
        <w:rPr>
          <w:rFonts w:ascii="Avenir Next" w:hAnsi="Avenir Next"/>
          <w:b/>
          <w:color w:val="4A5568"/>
          <w:sz w:val="18"/>
        </w:rPr>
        <w:t>Evidence and annexes used</w:t>
      </w:r>
    </w:p>
    <w:tbl>
      <w:tblPr>
        <w:tblW w:type="auto" w:w="0"/>
        <w:jc w:val="left"/>
        <w:tblLayout w:type="autofit"/>
        <w:tblLook w:firstColumn="1" w:firstRow="1" w:lastColumn="0" w:lastRow="0" w:noHBand="0" w:noVBand="1" w:val="04A0"/>
      </w:tblPr>
      <w:tblGrid>
        <w:gridCol w:w="3389"/>
        <w:gridCol w:w="3389"/>
        <w:gridCol w:w="3389"/>
      </w:tblGrid>
      <w:tr>
        <w:tc>
          <w:tcPr>
            <w:tcW w:type="dxa" w:w="3389"/>
            <w:shd w:fill="1A2332"/>
            <w:vAlign w:val="center"/>
          </w:tcPr>
          <w:p>
            <w:pPr>
              <w:jc w:val="center"/>
            </w:pPr>
            <w:r/>
            <w:r>
              <w:rPr>
                <w:rFonts w:ascii="Avenir Next" w:hAnsi="Avenir Next"/>
                <w:b/>
                <w:color w:val="FFFFFF"/>
                <w:sz w:val="19"/>
              </w:rPr>
              <w:t>Source</w:t>
            </w:r>
          </w:p>
        </w:tc>
        <w:tc>
          <w:tcPr>
            <w:tcW w:type="dxa" w:w="3389"/>
            <w:shd w:fill="1A2332"/>
            <w:vAlign w:val="center"/>
          </w:tcPr>
          <w:p>
            <w:pPr>
              <w:jc w:val="center"/>
            </w:pPr>
            <w:r/>
            <w:r>
              <w:rPr>
                <w:rFonts w:ascii="Avenir Next" w:hAnsi="Avenir Next"/>
                <w:b/>
                <w:color w:val="FFFFFF"/>
                <w:sz w:val="19"/>
              </w:rPr>
              <w:t>Use in case</w:t>
            </w:r>
          </w:p>
        </w:tc>
        <w:tc>
          <w:tcPr>
            <w:tcW w:type="dxa" w:w="3389"/>
            <w:shd w:fill="1A2332"/>
            <w:vAlign w:val="center"/>
          </w:tcPr>
          <w:p>
            <w:pPr>
              <w:jc w:val="center"/>
            </w:pPr>
            <w:r/>
            <w:r>
              <w:rPr>
                <w:rFonts w:ascii="Avenir Next" w:hAnsi="Avenir Next"/>
                <w:b/>
                <w:color w:val="FFFFFF"/>
                <w:sz w:val="19"/>
              </w:rPr>
              <w:t>Status</w:t>
            </w:r>
          </w:p>
        </w:tc>
      </w:tr>
      <w:tr>
        <w:tc>
          <w:tcPr>
            <w:tcW w:type="dxa" w:w="3389"/>
            <w:shd w:fill="F7FAFC"/>
            <w:vAlign w:val="center"/>
          </w:tcPr>
          <w:p>
            <w:pPr>
              <w:jc w:val="left"/>
            </w:pPr>
            <w:r/>
            <w:r>
              <w:rPr>
                <w:rFonts w:ascii="Avenir Next" w:hAnsi="Avenir Next"/>
                <w:b w:val="0"/>
                <w:color w:val="1A202C"/>
                <w:sz w:val="18"/>
              </w:rPr>
              <w:t>04_Pricing_Strategy_Memo_B2B_Workflow_SaaS_Santiago_Garces.docx</w:t>
            </w:r>
          </w:p>
        </w:tc>
        <w:tc>
          <w:tcPr>
            <w:tcW w:type="dxa" w:w="3389"/>
            <w:shd w:fill="F7FAFC"/>
            <w:vAlign w:val="center"/>
          </w:tcPr>
          <w:p>
            <w:pPr>
              <w:jc w:val="left"/>
            </w:pPr>
            <w:r/>
            <w:r>
              <w:rPr>
                <w:rFonts w:ascii="Avenir Next" w:hAnsi="Avenir Next"/>
                <w:b w:val="0"/>
                <w:color w:val="1A202C"/>
                <w:sz w:val="18"/>
              </w:rPr>
              <w:t>Core narrative for value drivers and tier design</w:t>
            </w:r>
          </w:p>
        </w:tc>
        <w:tc>
          <w:tcPr>
            <w:tcW w:type="dxa" w:w="3389"/>
            <w:shd w:fill="F7FAFC"/>
            <w:vAlign w:val="center"/>
          </w:tcPr>
          <w:p>
            <w:pPr>
              <w:jc w:val="left"/>
            </w:pPr>
            <w:r/>
            <w:r>
              <w:rPr>
                <w:rFonts w:ascii="Avenir Next" w:hAnsi="Avenir Next"/>
                <w:b w:val="0"/>
                <w:color w:val="1A202C"/>
                <w:sz w:val="18"/>
              </w:rPr>
              <w:t>Primary</w:t>
            </w:r>
          </w:p>
        </w:tc>
      </w:tr>
      <w:tr>
        <w:tc>
          <w:tcPr>
            <w:tcW w:type="dxa" w:w="3389"/>
            <w:vAlign w:val="center"/>
          </w:tcPr>
          <w:p>
            <w:pPr>
              <w:jc w:val="left"/>
            </w:pPr>
            <w:r/>
            <w:r>
              <w:rPr>
                <w:rFonts w:ascii="Avenir Next" w:hAnsi="Avenir Next"/>
                <w:b w:val="0"/>
                <w:color w:val="1A202C"/>
                <w:sz w:val="18"/>
              </w:rPr>
              <w:t>03_Pricing_Strategy_Memo.docx</w:t>
            </w:r>
          </w:p>
        </w:tc>
        <w:tc>
          <w:tcPr>
            <w:tcW w:type="dxa" w:w="3389"/>
            <w:vAlign w:val="center"/>
          </w:tcPr>
          <w:p>
            <w:pPr>
              <w:jc w:val="left"/>
            </w:pPr>
            <w:r/>
            <w:r>
              <w:rPr>
                <w:rFonts w:ascii="Avenir Next" w:hAnsi="Avenir Next"/>
                <w:b w:val="0"/>
                <w:color w:val="1A202C"/>
                <w:sz w:val="18"/>
              </w:rPr>
              <w:t>Original scenario metrics and pricing logic</w:t>
            </w:r>
          </w:p>
        </w:tc>
        <w:tc>
          <w:tcPr>
            <w:tcW w:type="dxa" w:w="3389"/>
            <w:vAlign w:val="center"/>
          </w:tcPr>
          <w:p>
            <w:pPr>
              <w:jc w:val="left"/>
            </w:pPr>
            <w:r/>
            <w:r>
              <w:rPr>
                <w:rFonts w:ascii="Avenir Next" w:hAnsi="Avenir Next"/>
                <w:b w:val="0"/>
                <w:color w:val="1A202C"/>
                <w:sz w:val="18"/>
              </w:rPr>
              <w:t>Primary</w:t>
            </w:r>
          </w:p>
        </w:tc>
      </w:tr>
      <w:tr>
        <w:tc>
          <w:tcPr>
            <w:tcW w:type="dxa" w:w="3389"/>
            <w:shd w:fill="F7FAFC"/>
            <w:vAlign w:val="center"/>
          </w:tcPr>
          <w:p>
            <w:pPr>
              <w:jc w:val="left"/>
            </w:pPr>
            <w:r/>
            <w:r>
              <w:rPr>
                <w:rFonts w:ascii="Avenir Next" w:hAnsi="Avenir Next"/>
                <w:b w:val="0"/>
                <w:color w:val="1A202C"/>
                <w:sz w:val="18"/>
              </w:rPr>
              <w:t>02_Commercial_Intelligence_Case</w:t>
            </w:r>
          </w:p>
        </w:tc>
        <w:tc>
          <w:tcPr>
            <w:tcW w:type="dxa" w:w="3389"/>
            <w:shd w:fill="F7FAFC"/>
            <w:vAlign w:val="center"/>
          </w:tcPr>
          <w:p>
            <w:pPr>
              <w:jc w:val="left"/>
            </w:pPr>
            <w:r/>
            <w:r>
              <w:rPr>
                <w:rFonts w:ascii="Avenir Next" w:hAnsi="Avenir Next"/>
                <w:b w:val="0"/>
                <w:color w:val="1A202C"/>
                <w:sz w:val="18"/>
              </w:rPr>
              <w:t>Shared market and segment logic</w:t>
            </w:r>
          </w:p>
        </w:tc>
        <w:tc>
          <w:tcPr>
            <w:tcW w:type="dxa" w:w="3389"/>
            <w:shd w:fill="F7FAFC"/>
            <w:vAlign w:val="center"/>
          </w:tcPr>
          <w:p>
            <w:pPr>
              <w:jc w:val="left"/>
            </w:pPr>
            <w:r/>
            <w:r>
              <w:rPr>
                <w:rFonts w:ascii="Avenir Next" w:hAnsi="Avenir Next"/>
                <w:b w:val="0"/>
                <w:color w:val="1A202C"/>
                <w:sz w:val="18"/>
              </w:rPr>
              <w:t>Primary dependency</w:t>
            </w:r>
          </w:p>
        </w:tc>
      </w:tr>
      <w:tr>
        <w:tc>
          <w:tcPr>
            <w:tcW w:type="dxa" w:w="3389"/>
            <w:vAlign w:val="center"/>
          </w:tcPr>
          <w:p>
            <w:pPr>
              <w:jc w:val="left"/>
            </w:pPr>
            <w:r/>
            <w:r>
              <w:rPr>
                <w:rFonts w:ascii="Avenir Next" w:hAnsi="Avenir Next"/>
                <w:b w:val="0"/>
                <w:color w:val="1A202C"/>
                <w:sz w:val="18"/>
              </w:rPr>
              <w:t>04_Pricing_Strategy_Memo_MBB_Santiago_Garces.pptx</w:t>
            </w:r>
          </w:p>
        </w:tc>
        <w:tc>
          <w:tcPr>
            <w:tcW w:type="dxa" w:w="3389"/>
            <w:vAlign w:val="center"/>
          </w:tcPr>
          <w:p>
            <w:pPr>
              <w:jc w:val="left"/>
            </w:pPr>
            <w:r/>
            <w:r>
              <w:rPr>
                <w:rFonts w:ascii="Avenir Next" w:hAnsi="Avenir Next"/>
                <w:b w:val="0"/>
                <w:color w:val="1A202C"/>
                <w:sz w:val="18"/>
              </w:rPr>
              <w:t>Story compression reference</w:t>
            </w:r>
          </w:p>
        </w:tc>
        <w:tc>
          <w:tcPr>
            <w:tcW w:type="dxa" w:w="3389"/>
            <w:vAlign w:val="center"/>
          </w:tcPr>
          <w:p>
            <w:pPr>
              <w:jc w:val="left"/>
            </w:pPr>
            <w:r/>
            <w:r>
              <w:rPr>
                <w:rFonts w:ascii="Avenir Next" w:hAnsi="Avenir Next"/>
                <w:b w:val="0"/>
                <w:color w:val="1A202C"/>
                <w:sz w:val="18"/>
              </w:rPr>
              <w:t>Reference-only</w:t>
            </w:r>
          </w:p>
        </w:tc>
      </w:tr>
      <w:tr>
        <w:tc>
          <w:tcPr>
            <w:tcW w:type="dxa" w:w="3389"/>
            <w:shd w:fill="F7FAFC"/>
            <w:vAlign w:val="center"/>
          </w:tcPr>
          <w:p>
            <w:pPr>
              <w:jc w:val="left"/>
            </w:pPr>
            <w:r/>
            <w:r>
              <w:rPr>
                <w:rFonts w:ascii="Avenir Next" w:hAnsi="Avenir Next"/>
                <w:b w:val="0"/>
                <w:color w:val="1A202C"/>
                <w:sz w:val="18"/>
              </w:rPr>
              <w:t>doc2_investment_memo.pdf</w:t>
            </w:r>
          </w:p>
        </w:tc>
        <w:tc>
          <w:tcPr>
            <w:tcW w:type="dxa" w:w="3389"/>
            <w:shd w:fill="F7FAFC"/>
            <w:vAlign w:val="center"/>
          </w:tcPr>
          <w:p>
            <w:pPr>
              <w:jc w:val="left"/>
            </w:pPr>
            <w:r/>
            <w:r>
              <w:rPr>
                <w:rFonts w:ascii="Avenir Next" w:hAnsi="Avenir Next"/>
                <w:b w:val="0"/>
                <w:color w:val="1A202C"/>
                <w:sz w:val="18"/>
              </w:rPr>
              <w:t>Impact and risk structuring reference</w:t>
            </w:r>
          </w:p>
        </w:tc>
        <w:tc>
          <w:tcPr>
            <w:tcW w:type="dxa" w:w="3389"/>
            <w:shd w:fill="F7FAFC"/>
            <w:vAlign w:val="center"/>
          </w:tcPr>
          <w:p>
            <w:pPr>
              <w:jc w:val="left"/>
            </w:pPr>
            <w:r/>
            <w:r>
              <w:rPr>
                <w:rFonts w:ascii="Avenir Next" w:hAnsi="Avenir Next"/>
                <w:b w:val="0"/>
                <w:color w:val="1A202C"/>
                <w:sz w:val="18"/>
              </w:rPr>
              <w:t>Reference-only</w:t>
            </w:r>
          </w:p>
        </w:tc>
      </w:tr>
    </w:tbl>
    <w:p>
      <w:pPr>
        <w:spacing w:after="40"/>
        <w:jc w:val="left"/>
      </w:pPr>
      <w:r>
        <w:rPr>
          <w:rFonts w:ascii="Avenir Next" w:hAnsi="Avenir Next"/>
          <w:b w:val="0"/>
          <w:color w:val="1A202C"/>
          <w:sz w:val="21"/>
        </w:rPr>
      </w:r>
    </w:p>
    <w:p>
      <w:pPr>
        <w:pStyle w:val="Heading1"/>
        <w:spacing w:before="200" w:after="80"/>
      </w:pPr>
      <w:r>
        <w:t>Author and Contact</w:t>
      </w:r>
    </w:p>
    <w:p>
      <w:pPr>
        <w:spacing w:after="120"/>
        <w:jc w:val="left"/>
      </w:pPr>
      <w:r>
        <w:rPr>
          <w:rFonts w:ascii="Avenir Next" w:hAnsi="Avenir Next"/>
          <w:b w:val="0"/>
          <w:color w:val="1A202C"/>
          <w:sz w:val="21"/>
        </w:rPr>
        <w:t>Santiago Garces Chavarria turns fragmented market, regulatory, operational, and financial information into decision-ready outputs. His edge sits at the intersection of regulated operations, structured research, and AI-enabled workflow execution.</w:t>
      </w:r>
    </w:p>
    <w:p>
      <w:pPr>
        <w:spacing w:after="120"/>
        <w:jc w:val="left"/>
      </w:pPr>
      <w:r>
        <w:rPr>
          <w:rFonts w:ascii="Avenir Next" w:hAnsi="Avenir Next"/>
          <w:b/>
          <w:color w:val="2C5282"/>
          <w:sz w:val="21"/>
        </w:rPr>
        <w:t>For recruiter review or project discussion, email santiago.garces.blevine@gmail.com. Include the role or problem, timeline, and expected deliverable format.</w:t>
      </w:r>
    </w:p>
    <w:sectPr w:rsidR="00FC693F" w:rsidRPr="0006063C" w:rsidSect="00034616">
      <w:pgSz w:w="12240" w:h="15840"/>
      <w:pgMar w:top="1080"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venir Next" w:hAnsi="Avenir Next"/>
        <w:color w:val="4A5568"/>
        <w:sz w:val="16"/>
      </w:rPr>
      <w:t>Santiago Garces Chavarria | santiago.garces.blevine@gmail.com | Flagship Case 03 | Pricing and Monetization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w:hAnsi="Avenir Next"/>
      <w:color w:val="1A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venir Next" w:hAnsi="Avenir Next"/>
      <w:b/>
      <w:bCs/>
      <w:color w:val="1A233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venir Next" w:hAnsi="Avenir Next"/>
      <w:b/>
      <w:bCs/>
      <w:color w:val="2C52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