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venir Next" w:hAnsi="Avenir Next"/>
          <w:b/>
          <w:color w:val="2C5282"/>
          <w:sz w:val="19"/>
        </w:rPr>
        <w:t>PRICING STRATEGY | B2B SAAS | VALUE-BASED MONETIZATION</w:t>
      </w:r>
    </w:p>
    <w:p>
      <w:pPr>
        <w:spacing w:after="80"/>
        <w:jc w:val="left"/>
      </w:pPr>
      <w:r>
        <w:rPr>
          <w:rFonts w:ascii="Avenir Next" w:hAnsi="Avenir Next"/>
          <w:b/>
          <w:color w:val="1A2332"/>
          <w:sz w:val="48"/>
        </w:rPr>
        <w:t>Pricing Strategy: Value Drivers, Segmentation, and Tier Design for B2B SaaS</w:t>
      </w:r>
    </w:p>
    <w:p>
      <w:pPr>
        <w:spacing w:after="80"/>
        <w:jc w:val="left"/>
      </w:pPr>
      <w:r>
        <w:rPr>
          <w:rFonts w:ascii="Avenir Next" w:hAnsi="Avenir Next"/>
          <w:b/>
          <w:color w:val="3182CE"/>
          <w:sz w:val="24"/>
        </w:rPr>
        <w:t>Strategy Memo</w:t>
      </w:r>
    </w:p>
    <w:p>
      <w:pPr>
        <w:spacing w:after="160"/>
        <w:jc w:val="left"/>
      </w:pPr>
      <w:r>
        <w:rPr>
          <w:rFonts w:ascii="Avenir Next" w:hAnsi="Avenir Next"/>
          <w:b w:val="0"/>
          <w:color w:val="4A5568"/>
          <w:sz w:val="19"/>
        </w:rPr>
        <w:t>Santiago Garces Chavarria | santiago.garces.blevine@gmail.com | Medellin, Colombia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C528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SELF-INITIATED</w:t>
            </w:r>
          </w:p>
        </w:tc>
        <w:tc>
          <w:tcPr>
            <w:tcW w:type="dxa" w:w="508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9"/>
              </w:rPr>
              <w:t>Self-initiated strategy memo based on real pricing research methodology. Simulated decision-grade sample.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7FAFC"/>
          </w:tcPr>
          <w:p>
            <w:pPr>
              <w:jc w:val="left"/>
            </w:pPr>
            <w:r/>
            <w:r>
              <w:rPr>
                <w:rFonts w:ascii="Avenir Next" w:hAnsi="Avenir Next"/>
                <w:b/>
                <w:color w:val="1A2332"/>
                <w:sz w:val="30"/>
              </w:rPr>
              <w:t>$49 / $149 / $399</w:t>
            </w:r>
          </w:p>
          <w:p>
            <w:pPr>
              <w:spacing w:before="40"/>
            </w:pPr>
            <w:r>
              <w:rPr>
                <w:rFonts w:ascii="Avenir Next" w:hAnsi="Avenir Next"/>
                <w:color w:val="4A5568"/>
                <w:sz w:val="18"/>
              </w:rPr>
              <w:t>recommended tier ladder</w:t>
            </w:r>
          </w:p>
        </w:tc>
        <w:tc>
          <w:tcPr>
            <w:tcW w:type="dxa" w:w="5083"/>
            <w:shd w:fill="F7FAFC"/>
          </w:tcPr>
          <w:p>
            <w:pPr>
              <w:jc w:val="left"/>
            </w:pPr>
            <w:r/>
            <w:r>
              <w:rPr>
                <w:rFonts w:ascii="Avenir Next" w:hAnsi="Avenir Next"/>
                <w:b/>
                <w:color w:val="1A2332"/>
                <w:sz w:val="30"/>
              </w:rPr>
              <w:t>340</w:t>
            </w:r>
          </w:p>
          <w:p>
            <w:pPr>
              <w:spacing w:before="40"/>
            </w:pPr>
            <w:r>
              <w:rPr>
                <w:rFonts w:ascii="Avenir Next" w:hAnsi="Avenir Next"/>
                <w:color w:val="4A5568"/>
                <w:sz w:val="18"/>
              </w:rPr>
              <w:t>active customers in scenario</w:t>
            </w:r>
          </w:p>
        </w:tc>
      </w:tr>
      <w:tr>
        <w:tc>
          <w:tcPr>
            <w:tcW w:type="dxa" w:w="5083"/>
            <w:shd w:fill="F7FAFC"/>
          </w:tcPr>
          <w:p>
            <w:pPr>
              <w:jc w:val="left"/>
            </w:pPr>
            <w:r/>
            <w:r>
              <w:rPr>
                <w:rFonts w:ascii="Avenir Next" w:hAnsi="Avenir Next"/>
                <w:b/>
                <w:color w:val="1A2332"/>
                <w:sz w:val="30"/>
              </w:rPr>
              <w:t>+35-45%</w:t>
            </w:r>
          </w:p>
          <w:p>
            <w:pPr>
              <w:spacing w:before="40"/>
            </w:pPr>
            <w:r>
              <w:rPr>
                <w:rFonts w:ascii="Avenir Next" w:hAnsi="Avenir Next"/>
                <w:color w:val="4A5568"/>
                <w:sz w:val="18"/>
              </w:rPr>
              <w:t>projected ARPU uplift</w:t>
            </w:r>
          </w:p>
        </w:tc>
        <w:tc>
          <w:tcPr>
            <w:tcW w:type="dxa" w:w="5083"/>
            <w:shd w:fill="F7FAFC"/>
          </w:tcPr>
          <w:p>
            <w:pPr>
              <w:jc w:val="left"/>
            </w:pPr>
            <w:r/>
            <w:r>
              <w:rPr>
                <w:rFonts w:ascii="Avenir Next" w:hAnsi="Avenir Next"/>
                <w:b/>
                <w:color w:val="1A2332"/>
                <w:sz w:val="30"/>
              </w:rPr>
              <w:t>3</w:t>
            </w:r>
          </w:p>
          <w:p>
            <w:pPr>
              <w:spacing w:before="40"/>
            </w:pPr>
            <w:r>
              <w:rPr>
                <w:rFonts w:ascii="Avenir Next" w:hAnsi="Avenir Next"/>
                <w:color w:val="4A5568"/>
                <w:sz w:val="18"/>
              </w:rPr>
              <w:t>target customer segments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pStyle w:val="Heading1"/>
        <w:spacing w:before="200" w:after="80"/>
      </w:pPr>
      <w:r>
        <w:t>Executive Summary</w:t>
      </w:r>
    </w:p>
    <w:p>
      <w:pPr>
        <w:spacing w:after="160"/>
        <w:jc w:val="left"/>
      </w:pPr>
      <w:r>
        <w:rPr>
          <w:rFonts w:ascii="Avenir Next" w:hAnsi="Avenir Next"/>
          <w:b w:val="0"/>
          <w:color w:val="1A202C"/>
          <w:sz w:val="21"/>
        </w:rPr>
        <w:t>This memo recommends a three-tier pricing architecture for a B2B workflow SaaS product serving professional-services firms. The recommendation connects value drivers, customer segmentation, and packaging logic rather than treating pricing as a flat list of price points. The proposed architecture uses a $49 Starter tier, a $149 Professional tier, and a $399 Business tier, with annual billing incentives and an API add-on to create upgrade pathways without raising adoption friction.</w:t>
      </w:r>
    </w:p>
    <w:p>
      <w:pPr>
        <w:sectPr>
          <w:footerReference w:type="default" r:id="rId9"/>
          <w:pgSz w:w="12240" w:h="15840"/>
          <w:pgMar w:top="1080" w:right="1037" w:bottom="936" w:left="1037" w:header="720" w:footer="720" w:gutter="0"/>
          <w:cols w:space="720"/>
          <w:docGrid w:linePitch="360"/>
        </w:sectPr>
      </w:pPr>
    </w:p>
    <w:p>
      <w:pPr>
        <w:pStyle w:val="Heading1"/>
        <w:spacing w:before="200" w:after="80"/>
      </w:pPr>
      <w:r>
        <w:t>Business Context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product is a workflow automation and document management platform for professional-services firms. The current model uses a single $99/month tier, which limits expansion revenue and creates a poor fit for both smaller and larger customer segments.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commercial question is how to redesign pricing so the offer captures more value while clarifying who each tier is for.</w:t>
      </w:r>
    </w:p>
    <w:p>
      <w:pPr>
        <w:pStyle w:val="Heading1"/>
        <w:spacing w:before="200" w:after="80"/>
      </w:pPr>
      <w:r>
        <w:t>Value Driver Analysis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Pricing must follow value. The analysis ranked the product's value drivers by their likely willingness-to-pay impact rather than by how easy they are to explain on a pricing page.</w:t>
      </w:r>
    </w:p>
    <w:p>
      <w:pPr>
        <w:spacing w:after="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spacing w:after="40"/>
        <w:jc w:val="left"/>
      </w:pPr>
      <w:r>
        <w:rPr>
          <w:rFonts w:ascii="Avenir Next" w:hAnsi="Avenir Next"/>
          <w:b/>
          <w:color w:val="4A5568"/>
          <w:sz w:val="18"/>
        </w:rPr>
        <w:t>Value drivers ranked by willingness-to-pay impact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Rank</w:t>
            </w:r>
          </w:p>
        </w:tc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Value driver</w:t>
            </w:r>
          </w:p>
        </w:tc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WTP impact</w:t>
            </w:r>
          </w:p>
        </w:tc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Customer evidence</w:t>
            </w:r>
          </w:p>
        </w:tc>
      </w:tr>
      <w:tr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1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Time saved on document processing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Highest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8-12 hours saved weekly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2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Integration with existing tools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High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Native CRM and accounting connectors</w:t>
            </w:r>
          </w:p>
        </w:tc>
      </w:tr>
      <w:tr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3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Team collaboration features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Medium-High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Shared workspaces and approvals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4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Compliance and audit trail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Medium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Version history and access logs</w:t>
            </w:r>
          </w:p>
        </w:tc>
      </w:tr>
      <w:tr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5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Support response time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Low-Medium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Priority support matters in live workflows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pStyle w:val="Heading1"/>
        <w:spacing w:before="200" w:after="80"/>
      </w:pPr>
      <w:r>
        <w:t>Customer Segmentation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pricing model needs to reflect three different buying patterns: small practices that optimize for affordability, growing firms that optimize for collaboration and integration, and established operations that optimize for control and administrative structure.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Small practices: willing to pay $40-60/month total for a lean workflow product.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Growing firms: willing to pay $120-180/month for collaboration and integration depth.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Established operations: willing to pay $300-500/month for compliance, admin controls, and custom integrations.</w:t>
      </w:r>
    </w:p>
    <w:p>
      <w:pPr>
        <w:pStyle w:val="Heading1"/>
        <w:spacing w:before="200" w:after="80"/>
      </w:pPr>
      <w:r>
        <w:t>Recommended Tier Architecture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recommended architecture uses three tiers with clear upgrade fences. The intent is to align price with the distinct value logic of each segment while preserving a simple narrative on the pricing page.</w:t>
      </w:r>
    </w:p>
    <w:p>
      <w:pPr>
        <w:spacing w:after="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spacing w:after="40"/>
        <w:jc w:val="left"/>
      </w:pPr>
      <w:r>
        <w:rPr>
          <w:rFonts w:ascii="Avenir Next" w:hAnsi="Avenir Next"/>
          <w:b/>
          <w:color w:val="4A5568"/>
          <w:sz w:val="18"/>
        </w:rPr>
        <w:t>Recommended packaging structure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2033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Price</w:t>
            </w:r>
          </w:p>
        </w:tc>
        <w:tc>
          <w:tcPr>
            <w:tcW w:type="dxa" w:w="2033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033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Key features</w:t>
            </w:r>
          </w:p>
        </w:tc>
        <w:tc>
          <w:tcPr>
            <w:tcW w:type="dxa" w:w="2033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Value proposition</w:t>
            </w:r>
          </w:p>
        </w:tc>
      </w:tr>
      <w:tr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Starter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$49/month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1-5 users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Core workflow, 2 integrations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Replace manual processes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Professional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$149/month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6-25 users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All integrations, collaboration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Team productivity</w:t>
            </w:r>
          </w:p>
        </w:tc>
      </w:tr>
      <w:tr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Business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$399/month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26-100 users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Custom integrations, compliance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Operational scale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pStyle w:val="Heading1"/>
        <w:spacing w:before="200" w:after="80"/>
      </w:pPr>
      <w:r>
        <w:t>Pricing Psychology and Packaging Rules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Packaging choices shape perceived fairness as much as the headline price. The model therefore pairs annual billing incentives with a monthly option, keeps the low-end tier clean, and uses add-ons to create a pre-upgrade path.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Annual billing is the default, with monthly billing at a 20% premium.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Per-seat logic is used inside tiers only where it reinforces value capture.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Professional and Business get a 21-day free trial to allow integration setup time.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Starter customers can add API access at $99/month if they need connectivity before upgrading.</w:t>
      </w:r>
    </w:p>
    <w:p>
      <w:pPr>
        <w:pStyle w:val="Heading1"/>
        <w:spacing w:before="200" w:after="80"/>
      </w:pPr>
      <w:r>
        <w:t>Validation Plan and Expected Impact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recommendation should be validated through survey work, pricing-page testing, customer cohort tests, and live sales-call feedback before full rollout.</w:t>
      </w:r>
    </w:p>
    <w:p>
      <w:pPr>
        <w:spacing w:after="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spacing w:after="40"/>
        <w:jc w:val="left"/>
      </w:pPr>
      <w:r>
        <w:rPr>
          <w:rFonts w:ascii="Avenir Next" w:hAnsi="Avenir Next"/>
          <w:b/>
          <w:color w:val="4A5568"/>
          <w:sz w:val="18"/>
        </w:rPr>
        <w:t>Expected economic impact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Projected (6mo)</w:t>
            </w:r>
          </w:p>
        </w:tc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Delta</w:t>
            </w:r>
          </w:p>
        </w:tc>
      </w:tr>
      <w:tr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ARPU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$99/month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$135-145/month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+35-45%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Monthly churn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4.2%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3.5%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-0.7pp</w:t>
            </w:r>
          </w:p>
        </w:tc>
      </w:tr>
      <w:tr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Sales cycle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45 days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30 days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-33%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Expansion revenue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5% of MRR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18% of MRR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+13pp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pStyle w:val="Heading1"/>
        <w:spacing w:before="200" w:after="80"/>
      </w:pPr>
      <w:r>
        <w:t>Author and Contact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Santiago Garces Chavarria is an analytical operator who turns fragmented market, regulatory, financial, and operational information into clear recommendations, structured deliverables, and decision-ready outputs. Based in Medellin, Colombia. Working worldwide.</w:t>
      </w:r>
    </w:p>
    <w:p>
      <w:pPr>
        <w:spacing w:after="120"/>
        <w:jc w:val="left"/>
      </w:pPr>
      <w:r>
        <w:rPr>
          <w:rFonts w:ascii="Avenir Next" w:hAnsi="Avenir Next"/>
          <w:b/>
          <w:color w:val="2C5282"/>
          <w:sz w:val="21"/>
        </w:rPr>
        <w:t>For portfolio reviews or project discussions, email santiago.garces.blevine@gmail.com. Include the role or project type, timeline, and expected deliverable format.</w:t>
      </w:r>
    </w:p>
    <w:sectPr w:rsidR="00FC693F" w:rsidRPr="0006063C" w:rsidSect="00034616">
      <w:pgSz w:w="12240" w:h="15840"/>
      <w:pgMar w:top="1080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venir Next" w:hAnsi="Avenir Next"/>
        <w:color w:val="4A5568"/>
        <w:sz w:val="16"/>
      </w:rPr>
      <w:t>Santiago Garces Chavarria | santiago.garces.blevine@gmail.com | Strategy Memo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color w:val="1A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venir Next" w:hAnsi="Avenir Next"/>
      <w:b/>
      <w:bCs/>
      <w:color w:val="1A233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venir Next" w:hAnsi="Avenir Next"/>
      <w:b/>
      <w:bCs/>
      <w:color w:val="2C52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