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12e6e164a0d48ee" /></Relationships>
</file>

<file path=word/document.xml><?xml version="1.0" encoding="utf-8"?>
<w:document xmlns:w="http://schemas.openxmlformats.org/wordprocessingml/2006/main">
  <w:body>
    <w:p>
      <w:pPr>
        <w:spacing w:before="3600"/>
      </w:pPr>
      <w:r/>
    </w:p>
    <w:p>
      <w:pPr>
        <w:jc w:val="left"/>
        <w:ind w:left="1200" w:right="1200"/>
        <w:spacing w:after="200"/>
      </w:pPr>
      <w:r>
        <w:rPr>
          <w:sz w:val="20"/>
          <w:color w:val="718096"/>
          <w:spacing w:val="60"/>
        </w:rPr>
        <w:t>Financial Regulation  |  Fintech  |  Comparative Analysis</w:t>
      </w:r>
    </w:p>
    <w:p>
      <w:pPr>
        <w:spacing w:before="600"/>
      </w:pPr>
      <w:r/>
    </w:p>
    <w:p>
      <w:pPr>
        <w:jc w:val="left"/>
        <w:ind w:left="1200" w:right="1200"/>
        <w:spacing w:after="300"/>
      </w:pPr>
      <w:r>
        <w:rPr>
          <w:sz w:val="56"/>
          <w:color w:val="1a2332"/>
          <w:b/>
          <w:spacing w:val="20"/>
        </w:rPr>
        <w:t>Financial Regulation and Fintech Market Entry: A Comparative Analysis</w:t>
      </w:r>
    </w:p>
    <w:p>
      <w:pPr>
        <w:jc w:val="left"/>
        <w:ind w:left="1200" w:right="1200"/>
        <w:spacing w:after="3600"/>
      </w:pPr>
      <w:r>
        <w:rPr>
          <w:sz w:val="28"/>
          <w:color w:val="2c5282"/>
        </w:rPr>
        <w:t>Regulatory Intelligence Brief</w:t>
      </w:r>
    </w:p>
    <w:p>
      <w:pPr>
        <w:ind w:left="1200"/>
      </w:pPr>
      <w:r>
        <w:rPr>
          <w:sz w:val="18"/>
          <w:color w:val="4a5568"/>
        </w:rPr>
        <w:t>Santiago Garces Chavarria  |  santiago.garces.blevine@gmail.com  |  Medellin, Colombia</w:t>
      </w:r>
    </w:p>
    <w:p>
      <w:pPr>
        <w:spacing w:before="400"/>
      </w:pPr>
      <w:r/>
    </w:p>
    <w:p>
      <w:pPr>
        <w:sectPr>
          <w:titlePg/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r>
        <w:t>Executive Summary</w:t>
      </w:r>
    </w:p>
    <w:p>
      <w:r>
        <w:t>This brief analyzes how financial regulation shapes fintech market entry across four jurisdictions: Colombia, Brazil, Singapore, and the UK. Regulatory approach, licensing complexity, and open banking timing are the primary determinants of market concentration and innovation velocity.</w:t>
      </w:r>
    </w:p>
    <w:p>
      <w:pPr>
        <w:pBdr>
          <w:left w:val="single" w:color="2c5282" w:sz="18" w:space="8"/>
        </w:pBdr>
        <w:ind w:left="400"/>
        <w:spacing w:before="200" w:after="200"/>
      </w:pPr>
      <w:r>
        <w:rPr>
          <w:i/>
          <w:color w:val="4a5568"/>
        </w:rPr>
        <w:t>Work Type: Based on thesis research. Adapted from academic work on Financial Regulation, Market Concentration, and Fintech Innovation.</w:t>
      </w:r>
    </w:p>
    <w:p>
      <w:pPr>
        <w:pStyle w:val="Heading1"/>
      </w:pPr>
      <w:r>
        <w:t>1. Regulatory Framework Overview</w:t>
      </w:r>
    </w:p>
    <w:tbl>
      <w:tblPr>
        <w:tblW w:w="5000" w:type="pct"/>
        <w:tblBorders>
          <w:top w:val="single" w:color="2c5282" w:sz="8"/>
          <w:bottom w:val="single" w:color="2c5282" w:sz="8"/>
          <w:insideH w:val="single" w:color="e2e8f0" w:sz="4"/>
        </w:tblBorders>
      </w:tblPr>
      <w:tblGrid>
        <w:gridCol w:w="20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w="20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Dimension</w:t>
            </w:r>
          </w:p>
        </w:tc>
        <w:tc>
          <w:tcPr>
            <w:tcW w:w="20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Colombia</w:t>
            </w:r>
          </w:p>
        </w:tc>
        <w:tc>
          <w:tcPr>
            <w:tcW w:w="20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Brazil</w:t>
            </w:r>
          </w:p>
        </w:tc>
        <w:tc>
          <w:tcPr>
            <w:tcW w:w="20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Singapore</w:t>
            </w:r>
          </w:p>
        </w:tc>
        <w:tc>
          <w:tcPr>
            <w:tcW w:w="20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UK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Approach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Rules-based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Hybrid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Principles-based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Principles-based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Fintech License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SAS / Law 2021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SOCNs, SCDs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MAS Sandbox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FCA Sandbox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Open Banking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Decree 2294/2023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BCB #473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MAS API Exchange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CMA/OBIE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Capital Requirements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High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Moderate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Low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Moderate</w:t>
            </w:r>
          </w:p>
        </w:tc>
      </w:tr>
    </w:tbl>
    <w:p>
      <w:pPr>
        <w:pStyle w:val="Heading1"/>
      </w:pPr>
      <w:r>
        <w:t>2. Market Concentration Analysis</w:t>
      </w:r>
    </w:p>
    <w:tbl>
      <w:tblPr>
        <w:tblW w:w="5000" w:type="pct"/>
        <w:tblBorders>
          <w:top w:val="single" w:color="2c5282" w:sz="8"/>
          <w:bottom w:val="single" w:color="2c5282" w:sz="8"/>
          <w:insideH w:val="single" w:color="e2e8f0" w:sz="4"/>
        </w:tblBorders>
      </w:tblPr>
      <w:tblGrid>
        <w:gridCol w:w="20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w="20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Indicator</w:t>
            </w:r>
          </w:p>
        </w:tc>
        <w:tc>
          <w:tcPr>
            <w:tcW w:w="20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Colombia</w:t>
            </w:r>
          </w:p>
        </w:tc>
        <w:tc>
          <w:tcPr>
            <w:tcW w:w="20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Brazil</w:t>
            </w:r>
          </w:p>
        </w:tc>
        <w:tc>
          <w:tcPr>
            <w:tcW w:w="20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Singapore</w:t>
            </w:r>
          </w:p>
        </w:tc>
        <w:tc>
          <w:tcPr>
            <w:tcW w:w="20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UK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Banking HHI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2,847 (conc.)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1,756 (mod.)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1,432 (comp.)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1,589 (mod.)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Fintechs per 1M adults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12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18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89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67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Top 3 bank share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72%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54%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41%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48%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New entrants (5yr)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14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38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120+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95+</w:t>
            </w:r>
          </w:p>
        </w:tc>
      </w:tr>
    </w:tbl>
    <w:p>
      <w:pPr>
        <w:pStyle w:val="Heading1"/>
      </w:pPr>
      <w:r>
        <w:t>3. Barriers to Entry Assessment</w:t>
      </w:r>
    </w:p>
    <w:p>
      <w:pPr>
        <w:pStyle w:val="Heading2"/>
      </w:pPr>
      <w:r>
        <w:t>Regulatory Barriers</w:t>
      </w:r>
    </w:p>
    <w:p>
      <w:r>
        <w:t>Capital requirements, licensing timelines, and compliance costs create significant entry barriers. Colombia's banking license requires approximately $30M USD. Brazil's BCB has reduced barriers but compliance complexity remains. Singapore and UK sandbox routes allow operational entry with minimal capital.</w:t>
      </w:r>
    </w:p>
    <w:p>
      <w:pPr>
        <w:pStyle w:val="Heading2"/>
      </w:pPr>
      <w:r>
        <w:t>Structural Barriers</w:t>
      </w:r>
    </w:p>
    <w:p>
      <w:r>
        <w:t>Incumbent bank distribution networks, brand trust, and existing customer relationships create structural moats. Strongest in Colombia and Brazil where physical branch networks remain relevant.</w:t>
      </w:r>
    </w:p>
    <w:p>
      <w:pPr>
        <w:pStyle w:val="Heading1"/>
      </w:pPr>
      <w:r>
        <w:t>4. Strategic Implications</w:t>
      </w:r>
    </w:p>
    <w:p>
      <w:pPr>
        <w:spacing w:before="60" w:after="60"/>
        <w:ind w:left="360" w:hanging="360"/>
      </w:pPr>
      <w:r>
        <w:t>•  Enter through sandbox or restricted license routes to validate before full licensing</w:t>
      </w:r>
    </w:p>
    <w:p>
      <w:pPr>
        <w:spacing w:before="60" w:after="60"/>
        <w:ind w:left="360" w:hanging="360"/>
      </w:pPr>
      <w:r>
        <w:t>•  Partner with incumbent banks for distribution rather than competing directly</w:t>
      </w:r>
    </w:p>
    <w:p>
      <w:pPr>
        <w:spacing w:before="60" w:after="60"/>
        <w:ind w:left="360" w:hanging="360"/>
      </w:pPr>
      <w:r>
        <w:t>•  Target regulatory arbitrage opportunities where rules create inefficient markets</w:t>
      </w:r>
    </w:p>
    <w:p>
      <w:pPr>
        <w:spacing w:before="60" w:after="60"/>
        <w:ind w:left="360" w:hanging="360"/>
      </w:pPr>
      <w:r>
        <w:t>•  Build compliance infrastructure early; regulatory relationships are a competitive moat</w:t>
      </w:r>
    </w:p>
    <w:p>
      <w:pPr>
        <w:pStyle w:val="Heading1"/>
      </w:pPr>
      <w:r>
        <w:t>About the Author</w:t>
      </w:r>
    </w:p>
    <w:p>
      <w:r>
        <w:t>Santiago Garces Chavarria is an analytical operator specializing in market research, competitive intelligence, pricing logic, regulated-market analysis, and AI-enabled workflow execution. Based in Medellin, Colombia. Working worldwide. santiago.garces.blevine@gmail.com</w:t>
      </w:r>
    </w:p>
    <w:sectPr>
      <w:headerReference xmlns:r="http://schemas.openxmlformats.org/officeDocument/2006/relationships" w:type="default" r:id="R4ebca68a41d2414f"/>
      <w:footerReference xmlns:r="http://schemas.openxmlformats.org/officeDocument/2006/relationships" w:type="default" r:id="Ra7907ddcff6f41a1"/>
      <w:pgSz w:w="11906" w:h="16838"/>
      <w:pgMar w:top="180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  <w:color w:val="718096"/>
      </w:rPr>
      <w:fldChar w:fldCharType="begin"/>
    </w:r>
    <w:r>
      <w:rPr>
        <w:sz w:val="16"/>
        <w:color w:val="718096"/>
      </w:rPr>
      <w:instrText xml:space="preserve"> PAGE </w:instrText>
    </w:r>
    <w:r>
      <w:rPr>
        <w:sz w:val="16"/>
        <w:color w:val="718096"/>
      </w:rPr>
      <w:fldChar w:fldCharType="separate"/>
    </w:r>
    <w:r>
      <w:rPr>
        <w:sz w:val="16"/>
        <w:color w:val="718096"/>
      </w:rPr>
      <w:t>1</w:t>
    </w:r>
    <w:r>
      <w:rPr>
        <w:sz w:val="16"/>
        <w:color w:val="71809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718096"/>
      </w:rPr>
      <w:t>Santiago Garces  |  Portfolio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80" w:line="300" w:lineRule="auto"/>
    </w:pPr>
    <w:rPr>
      <w:rFonts w:ascii="Calibri" w:hAnsi="Calibri"/>
      <w:sz w:val="22"/>
      <w:color w:val="1a202c"/>
    </w:rPr>
  </w:style>
  <w:style w:type="paragraph" w:styleId="Heading1">
    <w:name w:val="heading 1"/>
    <w:basedOn w:val="Normal"/>
    <w:pPr>
      <w:keepNext/>
      <w:keepLines/>
      <w:spacing w:before="480" w:after="200"/>
      <w:outlineLvl w:val="0"/>
    </w:pPr>
    <w:rPr>
      <w:b/>
      <w:sz w:val="36"/>
      <w:rFonts w:ascii="Calibri" w:hAnsi="Calibri"/>
      <w:color w:val="1a2332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sz w:val="28"/>
      <w:rFonts w:ascii="Calibri" w:hAnsi="Calibri"/>
      <w:color w:val="1a202c"/>
    </w:rPr>
  </w:style>
  <w:style w:type="paragraph" w:styleId="Heading3">
    <w:name w:val="heading 3"/>
    <w:basedOn w:val="Normal"/>
    <w:pPr>
      <w:keepNext/>
      <w:keepLines/>
      <w:spacing w:before="240" w:after="120"/>
      <w:outlineLvl w:val="2"/>
    </w:pPr>
    <w:rPr>
      <w:b/>
      <w:sz w:val="24"/>
      <w:rFonts w:ascii="Calibri" w:hAnsi="Calibri"/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ae804865e24b5f" /><Relationship Type="http://schemas.openxmlformats.org/officeDocument/2006/relationships/numbering" Target="/word/numbering.xml" Id="Rb613ed03f6934700" /><Relationship Type="http://schemas.openxmlformats.org/officeDocument/2006/relationships/header" Target="/word/header1.xml" Id="R4ebca68a41d2414f" /><Relationship Type="http://schemas.openxmlformats.org/officeDocument/2006/relationships/footer" Target="/word/footer1.xml" Id="Ra7907ddcff6f41a1" /><Relationship Type="http://schemas.openxmlformats.org/officeDocument/2006/relationships/settings" Target="/word/settings.xml" Id="R657a530abdca4782" /></Relationships>
</file>