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7643511c9b457b" /></Relationships>
</file>

<file path=word/document.xml><?xml version="1.0" encoding="utf-8"?>
<w:document xmlns:w="http://schemas.openxmlformats.org/wordprocessingml/2006/main">
  <w:body>
    <w:p>
      <w:pPr>
        <w:spacing w:before="3600"/>
      </w:pPr>
      <w:r/>
    </w:p>
    <w:p>
      <w:pPr>
        <w:jc w:val="left"/>
        <w:ind w:left="1200" w:right="1200"/>
        <w:spacing w:after="200"/>
      </w:pPr>
      <w:r>
        <w:rPr>
          <w:sz w:val="20"/>
          <w:color w:val="718096"/>
          <w:spacing w:val="60"/>
        </w:rPr>
        <w:t>Strategic Analysis  |  Fintech  |  Latin America</w:t>
      </w:r>
    </w:p>
    <w:p>
      <w:pPr>
        <w:spacing w:before="600"/>
      </w:pPr>
      <w:r/>
    </w:p>
    <w:p>
      <w:pPr>
        <w:jc w:val="left"/>
        <w:ind w:left="1200" w:right="1200"/>
        <w:spacing w:after="300"/>
      </w:pPr>
      <w:r>
        <w:rPr>
          <w:sz w:val="56"/>
          <w:color w:val="1a2332"/>
          <w:b/>
          <w:spacing w:val="20"/>
        </w:rPr>
        <w:t>Three Factors Reshaping Competition in Latin American Fintech</w:t>
      </w:r>
    </w:p>
    <w:p>
      <w:pPr>
        <w:jc w:val="left"/>
        <w:ind w:left="1200" w:right="1200"/>
        <w:spacing w:after="3600"/>
      </w:pPr>
      <w:r>
        <w:rPr>
          <w:sz w:val="28"/>
          <w:color w:val="2c5282"/>
        </w:rPr>
        <w:t>Executive Brief</w:t>
      </w:r>
    </w:p>
    <w:p>
      <w:pPr>
        <w:ind w:left="1200"/>
      </w:pPr>
      <w:r>
        <w:rPr>
          <w:sz w:val="18"/>
          <w:color w:val="4a5568"/>
        </w:rPr>
        <w:t>Santiago Garces Chavarria  |  santiago.garces.blevine@gmail.com  |  Medellin, Colombia</w:t>
      </w:r>
    </w:p>
    <w:p>
      <w:pPr>
        <w:spacing w:before="400"/>
      </w:pPr>
      <w:r/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Three Factors Reshaping Competition in Latin American Fintech</w:t>
      </w:r>
    </w:p>
    <w:p>
      <w:r>
        <w:t>The competitive landscape in Latin American financial services is undergoing a structural transformation driven by regulatory mandates, technology cost curves, and shifting consumer expectations. Three factors in particular will determine which firms capture value over the next five years.</w:t>
      </w:r>
    </w:p>
    <w:p>
      <w:pPr>
        <w:pStyle w:val="Heading1"/>
      </w:pPr>
      <w:r>
        <w:t>Factor 1: Regulatory Open Banking</w:t>
      </w:r>
    </w:p>
    <w:p>
      <w:r>
        <w:t>Brazil's Central Bank has mandated open banking through Resolution BCB #473, requiring all major banks to expose customer data and payment initiation APIs. Colombia followed with Decree 2294/2023, though implementation velocity lags Brazil by approximately 18 months.</w:t>
      </w:r>
    </w:p>
    <w:p>
      <w:r>
        <w:t>The implication: fintechs that build on open banking infrastructure will grow faster than those that attempt to displace incumbent banks entirely. The winning strategy is specialization, not replacement.</w:t>
      </w:r>
    </w:p>
    <w:p>
      <w:pPr>
        <w:pStyle w:val="Heading1"/>
      </w:pPr>
      <w:r>
        <w:t>Factor 2: Neobank Consolidation</w:t>
      </w:r>
    </w:p>
    <w:p>
      <w:r>
        <w:t>Latin America's neobank sector is entering a consolidation phase. Nubank's path to profitability, combined with rising customer acquisition costs, is pressuring subscale competitors. Companies with fewer than 5 million customers and weak unit economics are most at risk.</w:t>
      </w:r>
    </w:p>
    <w:p>
      <w:r>
        <w:t>The implication: the window for new neobank entry is closing. Opportunity now lies in vertical-specific financial products for segments that large neobanks cannot serve profitably at scale.</w:t>
      </w:r>
    </w:p>
    <w:p>
      <w:pPr>
        <w:pStyle w:val="Heading1"/>
      </w:pPr>
      <w:r>
        <w:t>Factor 3: Embedded Finance</w:t>
      </w:r>
    </w:p>
    <w:p>
      <w:r>
        <w:t>Non-financial platforms are increasingly offering financial services directly. Mercado Libre's credit and payments products, Rappi's financial services, and super-app strategies demonstrate that the most important distribution channel may not be a bank at all.</w:t>
      </w:r>
    </w:p>
    <w:p>
      <w:r>
        <w:t>The implication: financial product design must account for distribution through non-financial platforms. The firms that build the best embedded finance APIs and white-label infrastructure will capture value regardless of which consumer-facing brand owns the customer.</w:t>
      </w:r>
    </w:p>
    <w:p>
      <w:pPr>
        <w:pStyle w:val="Heading1"/>
      </w:pPr>
      <w:r>
        <w:t>Recommendation</w:t>
      </w:r>
    </w:p>
    <w:p>
      <w:r>
        <w:t>For market participants: prioritize open banking integration, target underserved verticals rather than broad neobank competition, and build embedded finance distribution partnerships. For investors: focus on infrastructure-layer fintechs with API-based revenue models rather than consumer-facing brands with high CAC.</w:t>
      </w:r>
    </w:p>
    <w:p>
      <w:pPr>
        <w:pStyle w:val="Heading1"/>
      </w:pPr>
      <w:r>
        <w:t>About the Author</w:t>
      </w:r>
    </w:p>
    <w:p>
      <w:r>
        <w:t>Santiago Garces Chavarria is an analytical operator specializing in market research, competitive intelligence, pricing logic, regulated-market analysis, and AI-enabled workflow execution. Based in Medellin, Colombia. Working worldwide. santiago.garces.blevine@gmail.com</w:t>
      </w:r>
    </w:p>
    <w:sectPr>
      <w:headerReference xmlns:r="http://schemas.openxmlformats.org/officeDocument/2006/relationships" w:type="default" r:id="Rd27da9206b314b81"/>
      <w:footerReference xmlns:r="http://schemas.openxmlformats.org/officeDocument/2006/relationships" w:type="default" r:id="R6f44bfadeb644c27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18096"/>
      </w:rPr>
      <w:fldChar w:fldCharType="begin"/>
    </w:r>
    <w:r>
      <w:rPr>
        <w:sz w:val="16"/>
        <w:color w:val="718096"/>
      </w:rPr>
      <w:instrText xml:space="preserve"> PAGE </w:instrText>
    </w:r>
    <w:r>
      <w:rPr>
        <w:sz w:val="16"/>
        <w:color w:val="718096"/>
      </w:rPr>
      <w:fldChar w:fldCharType="separate"/>
    </w:r>
    <w:r>
      <w:rPr>
        <w:sz w:val="16"/>
        <w:color w:val="718096"/>
      </w:rPr>
      <w:t>1</w:t>
    </w:r>
    <w:r>
      <w:rPr>
        <w:sz w:val="16"/>
        <w:color w:val="71809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718096"/>
      </w:rPr>
      <w:t>Santiago Garces  |  Portfolio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sz w:val="36"/>
      <w:rFonts w:ascii="Calibri" w:hAnsi="Calibri"/>
      <w:color w:val="1a2332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sz w:val="28"/>
      <w:rFonts w:ascii="Calibri" w:hAnsi="Calibri"/>
      <w:color w:val="1a202c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sz w:val="24"/>
      <w:rFonts w:ascii="Calibri" w:hAnsi="Calibri"/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8b4b7a8fde4bf4" /><Relationship Type="http://schemas.openxmlformats.org/officeDocument/2006/relationships/numbering" Target="/word/numbering.xml" Id="R585ec6559a8141f8" /><Relationship Type="http://schemas.openxmlformats.org/officeDocument/2006/relationships/header" Target="/word/header1.xml" Id="Rd27da9206b314b81" /><Relationship Type="http://schemas.openxmlformats.org/officeDocument/2006/relationships/footer" Target="/word/footer1.xml" Id="R6f44bfadeb644c27" /><Relationship Type="http://schemas.openxmlformats.org/officeDocument/2006/relationships/settings" Target="/word/settings.xml" Id="Rb4f64f25c0e04cf8" /></Relationships>
</file>