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venir Next" w:hAnsi="Avenir Next"/>
          <w:b/>
          <w:color w:val="2C5282"/>
          <w:sz w:val="19"/>
        </w:rPr>
        <w:t>FINANCIAL REGULATION | FINTECH | COMPARATIVE ANALYSIS</w:t>
      </w:r>
    </w:p>
    <w:p>
      <w:pPr>
        <w:spacing w:after="80"/>
        <w:jc w:val="left"/>
      </w:pPr>
      <w:r>
        <w:rPr>
          <w:rFonts w:ascii="Avenir Next" w:hAnsi="Avenir Next"/>
          <w:b/>
          <w:color w:val="1A2332"/>
          <w:sz w:val="48"/>
        </w:rPr>
        <w:t>Financial Regulation and Fintech Market Entry: A Comparative Analysis</w:t>
      </w:r>
    </w:p>
    <w:p>
      <w:pPr>
        <w:spacing w:after="80"/>
        <w:jc w:val="left"/>
      </w:pPr>
      <w:r>
        <w:rPr>
          <w:rFonts w:ascii="Avenir Next" w:hAnsi="Avenir Next"/>
          <w:b/>
          <w:color w:val="3182CE"/>
          <w:sz w:val="24"/>
        </w:rPr>
        <w:t>Regulatory Intelligence Brief</w:t>
      </w:r>
    </w:p>
    <w:p>
      <w:pPr>
        <w:spacing w:after="160"/>
        <w:jc w:val="left"/>
      </w:pPr>
      <w:r>
        <w:rPr>
          <w:rFonts w:ascii="Avenir Next" w:hAnsi="Avenir Next"/>
          <w:b w:val="0"/>
          <w:color w:val="4A5568"/>
          <w:sz w:val="19"/>
        </w:rPr>
        <w:t>Santiago Garces Chavarria | santiago.garces.blevine@gmail.com | Medellin, Colombia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C528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THESIS-ADAPTED</w:t>
            </w:r>
          </w:p>
        </w:tc>
        <w:tc>
          <w:tcPr>
            <w:tcW w:type="dxa" w:w="508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9"/>
              </w:rPr>
              <w:t>Based on thesis research on financial regulation, market concentration, and fintech innovation. Adapted from academic work for a commercial audience.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4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jurisdictions compared</w:t>
            </w:r>
          </w:p>
        </w:tc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72%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top-3 bank share in Colombia</w:t>
            </w:r>
          </w:p>
        </w:tc>
      </w:tr>
      <w:tr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120+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new entrants in Singapore over 5 years</w:t>
            </w:r>
          </w:p>
        </w:tc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3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market-entry implications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Executive Summary</w:t>
      </w:r>
    </w:p>
    <w:p>
      <w:pPr>
        <w:spacing w:after="160"/>
        <w:jc w:val="left"/>
      </w:pPr>
      <w:r>
        <w:rPr>
          <w:rFonts w:ascii="Avenir Next" w:hAnsi="Avenir Next"/>
          <w:b w:val="0"/>
          <w:color w:val="1A202C"/>
          <w:sz w:val="21"/>
        </w:rPr>
        <w:t>Financial regulation does not simply constrain fintech entry. It shapes the entire pattern of competition. This brief compares Colombia, Brazil, Singapore, and the UK to show how licensing design, open-banking timing, and regulatory pathways influence market concentration, new-entry volume, and innovation speed. The core implication is that successful entry strategies depend on regulatory path selection as much as on product strategy.</w:t>
      </w:r>
    </w:p>
    <w:p>
      <w:pPr>
        <w:sectPr>
          <w:footerReference w:type="default" r:id="rId9"/>
          <w:pgSz w:w="12240" w:h="15840"/>
          <w:pgMar w:top="1080" w:right="1037" w:bottom="936" w:left="1037" w:header="720" w:footer="720" w:gutter="0"/>
          <w:cols w:space="720"/>
          <w:docGrid w:linePitch="360"/>
        </w:sectPr>
      </w:pPr>
    </w:p>
    <w:p>
      <w:pPr>
        <w:pStyle w:val="Heading1"/>
        <w:spacing w:before="200" w:after="80"/>
      </w:pPr>
      <w:r>
        <w:t>Business Question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How does regulation shape fintech market entry and competitive intensity across different financial ecosystems?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brief reframes regulation as a market-structure variable rather than a narrow compliance topic.</w:t>
      </w:r>
    </w:p>
    <w:p>
      <w:pPr>
        <w:pStyle w:val="Heading1"/>
        <w:spacing w:before="200" w:after="80"/>
      </w:pPr>
      <w:r>
        <w:t>Comparative Framework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comparison focuses on four jurisdictions with different regulatory logics and different competitive outcomes: Colombia, Brazil, Singapore, and the UK.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Regulatory framework comparison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Colombia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Brazil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Singapore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UK</w:t>
            </w:r>
          </w:p>
        </w:tc>
      </w:tr>
      <w:tr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Approach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Rules-based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Hybrid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Principles-based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Principles-based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Fintech license path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SAS / Law 2021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SOCNs, SCDs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MAS Sandbox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FCA Sandbox</w:t>
            </w:r>
          </w:p>
        </w:tc>
      </w:tr>
      <w:tr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Open banking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Decree 2294/2023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BCB #473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MAS API Exchange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CMA/OBIE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Capital requirements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High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Moderate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Low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Moderate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Market Concentration Signals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concentration data shows a meaningful spread. Highly concentrated systems tend to pair heavier structural barriers with slower innovation diffusion. Lower concentration and cleaner entry pathways correlate with faster fintech formation.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Competitive structure indicators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Indicator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Colombia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Brazil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Singapore</w:t>
            </w:r>
          </w:p>
        </w:tc>
        <w:tc>
          <w:tcPr>
            <w:tcW w:type="dxa" w:w="2033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UK</w:t>
            </w:r>
          </w:p>
        </w:tc>
      </w:tr>
      <w:tr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Banking HHI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2,847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1,756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1,432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1,589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Fintechs per 1M adults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12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18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89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67</w:t>
            </w:r>
          </w:p>
        </w:tc>
      </w:tr>
      <w:tr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Top 3 bank share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72%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54%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41%</w:t>
            </w:r>
          </w:p>
        </w:tc>
        <w:tc>
          <w:tcPr>
            <w:tcW w:type="dxa" w:w="203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48%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New entrants (5yr)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14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38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120+</w:t>
            </w:r>
          </w:p>
        </w:tc>
        <w:tc>
          <w:tcPr>
            <w:tcW w:type="dxa" w:w="2033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95+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Barriers to Entry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Regulatory and structural barriers reinforce each other. Licensing complexity slows entry, but incumbent distribution strength and customer trust can be just as important once the product reaches market.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Colombia combines high capital requirements with strong incumbent concentration.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Brazil lowered some barriers but still requires firms to navigate meaningful compliance complexity.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Singapore and the UK offer clearer testing pathways through sandbox or restricted-license structures.</w:t>
      </w:r>
    </w:p>
    <w:p>
      <w:pPr>
        <w:pStyle w:val="Heading1"/>
        <w:spacing w:before="200" w:after="80"/>
      </w:pPr>
      <w:r>
        <w:t>Strategic Implications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practical implication is that market-entry strategy must include regulatory path design from day one.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Enter through sandbox or restricted-license pathways where possible to validate before full licensing.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Use incumbent partnerships for distribution when structural barriers are stronger than product barriers.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Treat compliance capability as a moat, not just as a cost center.</w:t>
      </w:r>
    </w:p>
    <w:p>
      <w:pPr>
        <w:pStyle w:val="Heading1"/>
        <w:spacing w:before="200" w:after="80"/>
      </w:pPr>
      <w:r>
        <w:t>Author and Contact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Santiago Garces Chavarria is an analytical operator who turns fragmented market, regulatory, financial, and operational information into clear recommendations, structured deliverables, and decision-ready outputs. Based in Medellin, Colombia. Working worldwide.</w:t>
      </w:r>
    </w:p>
    <w:p>
      <w:pPr>
        <w:spacing w:after="120"/>
        <w:jc w:val="left"/>
      </w:pPr>
      <w:r>
        <w:rPr>
          <w:rFonts w:ascii="Avenir Next" w:hAnsi="Avenir Next"/>
          <w:b/>
          <w:color w:val="2C5282"/>
          <w:sz w:val="21"/>
        </w:rPr>
        <w:t>For portfolio reviews or project discussions, email santiago.garces.blevine@gmail.com. Include the role or project type, timeline, and expected deliverable format.</w:t>
      </w:r>
    </w:p>
    <w:sectPr w:rsidR="00FC693F" w:rsidRPr="0006063C" w:rsidSect="00034616">
      <w:pgSz w:w="12240" w:h="15840"/>
      <w:pgMar w:top="1080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venir Next" w:hAnsi="Avenir Next"/>
        <w:color w:val="4A5568"/>
        <w:sz w:val="16"/>
      </w:rPr>
      <w:t>Santiago Garces Chavarria | santiago.garces.blevine@gmail.com | Regulatory Intelligence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1A23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C52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