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venir Next" w:hAnsi="Avenir Next"/>
          <w:b/>
          <w:color w:val="2C5282"/>
          <w:sz w:val="19"/>
        </w:rPr>
        <w:t>STRATEGIC ANALYSIS | FINTECH | LATIN AMERICA</w:t>
      </w:r>
    </w:p>
    <w:p>
      <w:pPr>
        <w:spacing w:after="80"/>
        <w:jc w:val="left"/>
      </w:pPr>
      <w:r>
        <w:rPr>
          <w:rFonts w:ascii="Avenir Next" w:hAnsi="Avenir Next"/>
          <w:b/>
          <w:color w:val="1A2332"/>
          <w:sz w:val="48"/>
        </w:rPr>
        <w:t>Three Factors Reshaping Competition in Latin American Fintech</w:t>
      </w:r>
    </w:p>
    <w:p>
      <w:pPr>
        <w:spacing w:after="80"/>
        <w:jc w:val="left"/>
      </w:pPr>
      <w:r>
        <w:rPr>
          <w:rFonts w:ascii="Avenir Next" w:hAnsi="Avenir Next"/>
          <w:b/>
          <w:color w:val="3182CE"/>
          <w:sz w:val="24"/>
        </w:rPr>
        <w:t>Executive Brief</w:t>
      </w:r>
    </w:p>
    <w:p>
      <w:pPr>
        <w:spacing w:after="160"/>
        <w:jc w:val="left"/>
      </w:pPr>
      <w:r>
        <w:rPr>
          <w:rFonts w:ascii="Avenir Next" w:hAnsi="Avenir Next"/>
          <w:b w:val="0"/>
          <w:color w:val="4A5568"/>
          <w:sz w:val="19"/>
        </w:rPr>
        <w:t>Santiago Garces Chavarria | santiago.garces.blevine@gmail.com | Medellin, Colombia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C528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SELF-INITIATED</w:t>
            </w:r>
          </w:p>
        </w:tc>
        <w:tc>
          <w:tcPr>
            <w:tcW w:type="dxa" w:w="508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9"/>
              </w:rPr>
              <w:t>Self-initiated writing sample demonstrating executive communication, structured argumentation, and strategic synthesis.</w:t>
            </w:r>
          </w:p>
        </w:tc>
      </w:tr>
    </w:tbl>
    <w:p>
      <w:pPr>
        <w:spacing w:after="40"/>
        <w:jc w:val="left"/>
      </w:pPr>
      <w:r>
        <w:rPr>
          <w:rFonts w:ascii="Avenir Next" w:hAnsi="Avenir Next"/>
          <w:b w:val="0"/>
          <w:color w:val="1A202C"/>
          <w:sz w:val="21"/>
        </w:rPr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7FAFC"/>
          </w:tcPr>
          <w:p>
            <w:pPr>
              <w:jc w:val="left"/>
            </w:pPr>
            <w:r/>
            <w:r>
              <w:rPr>
                <w:rFonts w:ascii="Avenir Next" w:hAnsi="Avenir Next"/>
                <w:b/>
                <w:color w:val="1A2332"/>
                <w:sz w:val="30"/>
              </w:rPr>
              <w:t>3</w:t>
            </w:r>
          </w:p>
          <w:p>
            <w:pPr>
              <w:spacing w:before="40"/>
            </w:pPr>
            <w:r>
              <w:rPr>
                <w:rFonts w:ascii="Avenir Next" w:hAnsi="Avenir Next"/>
                <w:color w:val="4A5568"/>
                <w:sz w:val="18"/>
              </w:rPr>
              <w:t>strategic factors</w:t>
            </w:r>
          </w:p>
        </w:tc>
        <w:tc>
          <w:tcPr>
            <w:tcW w:type="dxa" w:w="5083"/>
            <w:shd w:fill="F7FAFC"/>
          </w:tcPr>
          <w:p>
            <w:pPr>
              <w:jc w:val="left"/>
            </w:pPr>
            <w:r/>
            <w:r>
              <w:rPr>
                <w:rFonts w:ascii="Avenir Next" w:hAnsi="Avenir Next"/>
                <w:b/>
                <w:color w:val="1A2332"/>
                <w:sz w:val="30"/>
              </w:rPr>
              <w:t>4</w:t>
            </w:r>
          </w:p>
          <w:p>
            <w:pPr>
              <w:spacing w:before="40"/>
            </w:pPr>
            <w:r>
              <w:rPr>
                <w:rFonts w:ascii="Avenir Next" w:hAnsi="Avenir Next"/>
                <w:color w:val="4A5568"/>
                <w:sz w:val="18"/>
              </w:rPr>
              <w:t>market examples referenced</w:t>
            </w:r>
          </w:p>
        </w:tc>
      </w:tr>
      <w:tr>
        <w:tc>
          <w:tcPr>
            <w:tcW w:type="dxa" w:w="5083"/>
            <w:shd w:fill="F7FAFC"/>
          </w:tcPr>
          <w:p>
            <w:pPr>
              <w:jc w:val="left"/>
            </w:pPr>
            <w:r/>
            <w:r>
              <w:rPr>
                <w:rFonts w:ascii="Avenir Next" w:hAnsi="Avenir Next"/>
                <w:b/>
                <w:color w:val="1A2332"/>
                <w:sz w:val="30"/>
              </w:rPr>
              <w:t>1 page</w:t>
            </w:r>
          </w:p>
          <w:p>
            <w:pPr>
              <w:spacing w:before="40"/>
            </w:pPr>
            <w:r>
              <w:rPr>
                <w:rFonts w:ascii="Avenir Next" w:hAnsi="Avenir Next"/>
                <w:color w:val="4A5568"/>
                <w:sz w:val="18"/>
              </w:rPr>
              <w:t>executive brief core format</w:t>
            </w:r>
          </w:p>
        </w:tc>
        <w:tc>
          <w:tcPr>
            <w:tcW w:type="dxa" w:w="5083"/>
            <w:shd w:fill="F7FAFC"/>
          </w:tcPr>
          <w:p>
            <w:pPr>
              <w:jc w:val="left"/>
            </w:pPr>
            <w:r/>
            <w:r>
              <w:rPr>
                <w:rFonts w:ascii="Avenir Next" w:hAnsi="Avenir Next"/>
                <w:b/>
                <w:color w:val="1A2332"/>
                <w:sz w:val="30"/>
              </w:rPr>
              <w:t>C1</w:t>
            </w:r>
          </w:p>
          <w:p>
            <w:pPr>
              <w:spacing w:before="40"/>
            </w:pPr>
            <w:r>
              <w:rPr>
                <w:rFonts w:ascii="Avenir Next" w:hAnsi="Avenir Next"/>
                <w:color w:val="4A5568"/>
                <w:sz w:val="18"/>
              </w:rPr>
              <w:t>professional written English</w:t>
            </w:r>
          </w:p>
        </w:tc>
      </w:tr>
    </w:tbl>
    <w:p>
      <w:pPr>
        <w:spacing w:after="40"/>
        <w:jc w:val="left"/>
      </w:pPr>
      <w:r>
        <w:rPr>
          <w:rFonts w:ascii="Avenir Next" w:hAnsi="Avenir Next"/>
          <w:b w:val="0"/>
          <w:color w:val="1A202C"/>
          <w:sz w:val="21"/>
        </w:rPr>
      </w:r>
    </w:p>
    <w:p>
      <w:pPr>
        <w:pStyle w:val="Heading1"/>
        <w:spacing w:before="200" w:after="80"/>
      </w:pPr>
      <w:r>
        <w:t>Executive Summary</w:t>
      </w:r>
    </w:p>
    <w:p>
      <w:pPr>
        <w:spacing w:after="160"/>
        <w:jc w:val="left"/>
      </w:pPr>
      <w:r>
        <w:rPr>
          <w:rFonts w:ascii="Avenir Next" w:hAnsi="Avenir Next"/>
          <w:b w:val="0"/>
          <w:color w:val="1A202C"/>
          <w:sz w:val="21"/>
        </w:rPr>
        <w:t>Latin American fintech competition is being reshaped by three structural forces: regulatory open banking, neobank consolidation, and embedded-finance distribution. Together, these forces reduce the viability of undifferentiated new-bank entry and favor infrastructure, vertical specialization, and partnership-driven models. The brief demonstrates Santiago's ability to write concise, executive-level analysis in English while preserving a clear recommendation.</w:t>
      </w:r>
    </w:p>
    <w:p>
      <w:pPr>
        <w:sectPr>
          <w:footerReference w:type="default" r:id="rId9"/>
          <w:pgSz w:w="12240" w:h="15840"/>
          <w:pgMar w:top="1080" w:right="1037" w:bottom="936" w:left="1037" w:header="720" w:footer="720" w:gutter="0"/>
          <w:cols w:space="720"/>
          <w:docGrid w:linePitch="360"/>
        </w:sectPr>
      </w:pPr>
    </w:p>
    <w:p>
      <w:pPr>
        <w:pStyle w:val="Heading1"/>
        <w:spacing w:before="200" w:after="80"/>
      </w:pPr>
      <w:r>
        <w:t>Situation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The competitive landscape in Latin American financial services is shifting because infrastructure, capital intensity, and distribution are changing at the same time.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The executive question is not whether fintech remains attractive. It is where value can still be captured as the market matures.</w:t>
      </w:r>
    </w:p>
    <w:p>
      <w:pPr>
        <w:pStyle w:val="Heading1"/>
        <w:spacing w:before="200" w:after="80"/>
      </w:pPr>
      <w:r>
        <w:t>Factor 1: Regulatory Open Banking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Brazil's open-banking program has accelerated data portability and payment initiation capability. Colombia is following the same direction but with slower implementation velocity.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The implication is that fintechs built on open infrastructure are positioned better than those trying to replace incumbent banks head-on.</w:t>
      </w:r>
    </w:p>
    <w:p>
      <w:pPr>
        <w:pStyle w:val="Heading1"/>
        <w:spacing w:before="200" w:after="80"/>
      </w:pPr>
      <w:r>
        <w:t>Factor 2: Neobank Consolidation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The neobank category is no longer early-stage blue ocean. Rising customer acquisition costs and the path to profitability are pressuring smaller players.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The implication is that the broad neobank entry window is narrowing, while specialized vertical financial products remain more defensible.</w:t>
      </w:r>
    </w:p>
    <w:p>
      <w:pPr>
        <w:pStyle w:val="Heading1"/>
        <w:spacing w:before="200" w:after="80"/>
      </w:pPr>
      <w:r>
        <w:t>Factor 3: Embedded Finance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Distribution is moving outside traditional financial channels. Platforms such as Mercado Libre and Rappi show how non-financial surfaces can become financial-product channels.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The implication is that infrastructure and API strategy may matter more than consumer-facing brand ownership.</w:t>
      </w:r>
    </w:p>
    <w:p>
      <w:pPr>
        <w:pStyle w:val="Heading1"/>
        <w:spacing w:before="200" w:after="80"/>
      </w:pPr>
      <w:r>
        <w:t>Recommendation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For operators, the recommendation is to prioritize open-banking integration, target under-served verticals, and build for partnership-led distribution. For investors, the more attractive exposure may sit in infrastructure-layer plays rather than in broad consumer brands with rising CAC.</w:t>
      </w:r>
    </w:p>
    <w:p>
      <w:pPr>
        <w:spacing w:after="0"/>
        <w:jc w:val="left"/>
      </w:pPr>
      <w:r>
        <w:rPr>
          <w:rFonts w:ascii="Avenir Next" w:hAnsi="Avenir Next"/>
          <w:b w:val="0"/>
          <w:color w:val="1A202C"/>
          <w:sz w:val="21"/>
        </w:rPr>
      </w:r>
    </w:p>
    <w:p>
      <w:pPr>
        <w:spacing w:after="40"/>
        <w:jc w:val="left"/>
      </w:pPr>
      <w:r>
        <w:rPr>
          <w:rFonts w:ascii="Avenir Next" w:hAnsi="Avenir Next"/>
          <w:b/>
          <w:color w:val="4A5568"/>
          <w:sz w:val="18"/>
        </w:rPr>
        <w:t>Factor summary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Factor</w:t>
            </w:r>
          </w:p>
        </w:tc>
        <w:tc>
          <w:tcPr>
            <w:tcW w:type="dxa" w:w="3389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Competitive effect</w:t>
            </w:r>
          </w:p>
        </w:tc>
        <w:tc>
          <w:tcPr>
            <w:tcW w:type="dxa" w:w="3389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Strategic implication</w:t>
            </w:r>
          </w:p>
        </w:tc>
      </w:tr>
      <w:tr>
        <w:tc>
          <w:tcPr>
            <w:tcW w:type="dxa" w:w="3389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Open banking</w:t>
            </w:r>
          </w:p>
        </w:tc>
        <w:tc>
          <w:tcPr>
            <w:tcW w:type="dxa" w:w="3389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Lowers infrastructure friction</w:t>
            </w:r>
          </w:p>
        </w:tc>
        <w:tc>
          <w:tcPr>
            <w:tcW w:type="dxa" w:w="3389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Specialize rather than replace</w:t>
            </w:r>
          </w:p>
        </w:tc>
      </w:tr>
      <w:tr>
        <w:tc>
          <w:tcPr>
            <w:tcW w:type="dxa" w:w="3389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Neobank consolidation</w:t>
            </w:r>
          </w:p>
        </w:tc>
        <w:tc>
          <w:tcPr>
            <w:tcW w:type="dxa" w:w="3389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Raises the cost of broad entry</w:t>
            </w:r>
          </w:p>
        </w:tc>
        <w:tc>
          <w:tcPr>
            <w:tcW w:type="dxa" w:w="3389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Target underserved verticals</w:t>
            </w:r>
          </w:p>
        </w:tc>
      </w:tr>
      <w:tr>
        <w:tc>
          <w:tcPr>
            <w:tcW w:type="dxa" w:w="3389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Embedded finance</w:t>
            </w:r>
          </w:p>
        </w:tc>
        <w:tc>
          <w:tcPr>
            <w:tcW w:type="dxa" w:w="3389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Shifts distribution power</w:t>
            </w:r>
          </w:p>
        </w:tc>
        <w:tc>
          <w:tcPr>
            <w:tcW w:type="dxa" w:w="3389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Invest in infrastructure and partnerships</w:t>
            </w:r>
          </w:p>
        </w:tc>
      </w:tr>
    </w:tbl>
    <w:p>
      <w:pPr>
        <w:spacing w:after="40"/>
        <w:jc w:val="left"/>
      </w:pPr>
      <w:r>
        <w:rPr>
          <w:rFonts w:ascii="Avenir Next" w:hAnsi="Avenir Next"/>
          <w:b w:val="0"/>
          <w:color w:val="1A202C"/>
          <w:sz w:val="21"/>
        </w:rPr>
      </w:r>
    </w:p>
    <w:p>
      <w:pPr>
        <w:pStyle w:val="Heading1"/>
        <w:spacing w:before="200" w:after="80"/>
      </w:pPr>
      <w:r>
        <w:t>Author and Contact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Santiago Garces Chavarria is an analytical operator who turns fragmented market, regulatory, financial, and operational information into clear recommendations, structured deliverables, and decision-ready outputs. Based in Medellin, Colombia. Working worldwide.</w:t>
      </w:r>
    </w:p>
    <w:p>
      <w:pPr>
        <w:spacing w:after="120"/>
        <w:jc w:val="left"/>
      </w:pPr>
      <w:r>
        <w:rPr>
          <w:rFonts w:ascii="Avenir Next" w:hAnsi="Avenir Next"/>
          <w:b/>
          <w:color w:val="2C5282"/>
          <w:sz w:val="21"/>
        </w:rPr>
        <w:t>For portfolio reviews or project discussions, email santiago.garces.blevine@gmail.com. Include the role or project type, timeline, and expected deliverable format.</w:t>
      </w:r>
    </w:p>
    <w:sectPr w:rsidR="00FC693F" w:rsidRPr="0006063C" w:rsidSect="00034616">
      <w:pgSz w:w="12240" w:h="15840"/>
      <w:pgMar w:top="1080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venir Next" w:hAnsi="Avenir Next"/>
        <w:color w:val="4A5568"/>
        <w:sz w:val="16"/>
      </w:rPr>
      <w:t>Santiago Garces Chavarria | santiago.garces.blevine@gmail.com | Executive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color w:val="1A20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venir Next" w:hAnsi="Avenir Next"/>
      <w:b/>
      <w:bCs/>
      <w:color w:val="1A233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venir Next" w:hAnsi="Avenir Next"/>
      <w:b/>
      <w:bCs/>
      <w:color w:val="2C528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