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711541d7894ec3" /></Relationships>
</file>

<file path=word/document.xml><?xml version="1.0" encoding="utf-8"?>
<w:document xmlns:w="http://schemas.openxmlformats.org/wordprocessingml/2006/main">
  <w:body>
    <w:p>
      <w:pPr>
        <w:spacing w:before="3600"/>
      </w:pPr>
      <w:r/>
    </w:p>
    <w:p>
      <w:pPr>
        <w:jc w:val="left"/>
        <w:ind w:left="1200" w:right="1200"/>
        <w:spacing w:after="200"/>
      </w:pPr>
      <w:r>
        <w:rPr>
          <w:sz w:val="20"/>
          <w:color w:val="718096"/>
          <w:spacing w:val="60"/>
        </w:rPr>
        <w:t>Market Research  |  Competitive Intelligence  |  AI Workflow Execution</w:t>
      </w:r>
    </w:p>
    <w:p>
      <w:pPr>
        <w:spacing w:before="600"/>
      </w:pPr>
      <w:r/>
    </w:p>
    <w:p>
      <w:pPr>
        <w:jc w:val="left"/>
        <w:ind w:left="1200" w:right="1200"/>
        <w:spacing w:after="300"/>
      </w:pPr>
      <w:r>
        <w:rPr>
          <w:sz w:val="56"/>
          <w:color w:val="1a2332"/>
          <w:b/>
          <w:spacing w:val="20"/>
        </w:rPr>
        <w:t>Santiago Garces Chavarria: Portfolio Positioning and Professional Profile</w:t>
      </w:r>
    </w:p>
    <w:p>
      <w:pPr>
        <w:jc w:val="left"/>
        <w:ind w:left="1200" w:right="1200"/>
        <w:spacing w:after="3600"/>
      </w:pPr>
      <w:r>
        <w:rPr>
          <w:sz w:val="28"/>
          <w:color w:val="2c5282"/>
        </w:rPr>
        <w:t>Professional Profile</w:t>
      </w:r>
    </w:p>
    <w:p>
      <w:pPr>
        <w:ind w:left="1200"/>
      </w:pPr>
      <w:r>
        <w:rPr>
          <w:sz w:val="18"/>
          <w:color w:val="4a5568"/>
        </w:rPr>
        <w:t>Santiago Garces Chavarria  |  santiago.garces.blevine@gmail.com  |  Medellin, Colombia</w:t>
      </w:r>
    </w:p>
    <w:p>
      <w:pPr>
        <w:spacing w:before="400"/>
      </w:pPr>
      <w:r/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Professional Positioning</w:t>
      </w:r>
    </w:p>
    <w:p>
      <w:r>
        <w:t>I am an analytical operator who turns fragmented market, regulatory, financial, and operational information into clear recommendations, structured deliverables, and decision-ready outputs.</w:t>
      </w:r>
    </w:p>
    <w:p>
      <w:r>
        <w:t>My background sits at the intersection of three domains: regulated financial services operations, structured research and analysis, and AI-enabled workflow execution. This combination lets me do work that pure analysts, pure operators, or pure technologists cannot do alone.</w:t>
      </w:r>
    </w:p>
    <w:p>
      <w:pPr>
        <w:pStyle w:val="Heading1"/>
      </w:pPr>
      <w:r>
        <w:t>Professional Background</w:t>
      </w:r>
    </w:p>
    <w:p>
      <w:r>
        <w:t>I spent formative years at IRIS CF, a regulated financial institution, where I managed 657+ PwC fiscal audit requirements spanning legal, finance, and operations. This exposure to reporting discipline, valuation-related disclosure, internal controls, and cross-functional coordination gave me a practical understanding of how regulated organizations actually function.</w:t>
      </w:r>
    </w:p>
    <w:p>
      <w:r>
        <w:t>Through Blevine Consulting, I built multi-agent AI systems and workflow infrastructure that reduced manual workloads by 24+ hours per week while achieving 97%+ assignment accuracy. I work with the Claude API, OpenAI API, and Python to create operational intelligence systems that scale.</w:t>
      </w:r>
    </w:p>
    <w:p>
      <w:pPr>
        <w:pStyle w:val="Heading1"/>
      </w:pPr>
      <w:r>
        <w:t>Research and Intellectual Foundation</w:t>
      </w:r>
    </w:p>
    <w:p>
      <w:r>
        <w:t>My thesis work focuses on Financial Regulation, Market Concentration, and Fintech Innovation in Colombia, with comparative analysis across Brazil, Singapore, and the UK. This research gives me a structural understanding of how regulation shapes competition and how market concentration affects innovation.</w:t>
      </w:r>
    </w:p>
    <w:p>
      <w:pPr>
        <w:pStyle w:val="Heading1"/>
      </w:pPr>
      <w:r>
        <w:t>How I Work</w:t>
      </w:r>
    </w:p>
    <w:p>
      <w:pPr>
        <w:spacing w:before="60" w:after="60"/>
        <w:ind w:left="360" w:hanging="360"/>
      </w:pPr>
      <w:r>
        <w:t>•  Remote-first and async-friendly: I produce my best work in focused, uninterrupted blocks</w:t>
      </w:r>
    </w:p>
    <w:p>
      <w:pPr>
        <w:spacing w:before="60" w:after="60"/>
        <w:ind w:left="360" w:hanging="360"/>
      </w:pPr>
      <w:r>
        <w:t>•  Written output as primary deliverable: memos, decks, reports, briefs</w:t>
      </w:r>
    </w:p>
    <w:p>
      <w:pPr>
        <w:spacing w:before="60" w:after="60"/>
        <w:ind w:left="360" w:hanging="360"/>
      </w:pPr>
      <w:r>
        <w:t>•  Research-heavy and insight-oriented: I prefer understanding over surface-level summary</w:t>
      </w:r>
    </w:p>
    <w:p>
      <w:pPr>
        <w:spacing w:before="60" w:after="60"/>
        <w:ind w:left="360" w:hanging="360"/>
      </w:pPr>
      <w:r>
        <w:t>•  Small to medium teams: I work best with direct communication and clear objectives</w:t>
      </w:r>
    </w:p>
    <w:p>
      <w:pPr>
        <w:spacing w:before="60" w:after="60"/>
        <w:ind w:left="360" w:hanging="360"/>
      </w:pPr>
      <w:r>
        <w:t>•  Moderate autonomy: I deliver with minimal supervision once direction is set</w:t>
      </w:r>
    </w:p>
    <w:p>
      <w:pPr>
        <w:pStyle w:val="Heading1"/>
      </w:pPr>
      <w:r>
        <w:t>Languages and Communication</w:t>
      </w:r>
    </w:p>
    <w:p>
      <w:r>
        <w:t>Spanish: Native. English: C1 written and professional. My written English is a core strength.</w:t>
      </w:r>
    </w:p>
    <w:p>
      <w:pPr>
        <w:pStyle w:val="Heading1"/>
      </w:pPr>
      <w:r>
        <w:t>Target Roles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Role Category</w:t>
            </w:r>
          </w:p>
        </w:tc>
        <w:tc>
          <w:tcPr>
            <w:tcW w:w="3333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Fit</w:t>
            </w:r>
          </w:p>
        </w:tc>
        <w:tc>
          <w:tcPr>
            <w:tcW w:w="3333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Notes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Market Research Analyst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Primary target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Competitive Intelligence Analyst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Primary target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Strategy Analyst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Primary target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Financial Research Support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Investment/deal support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Pricing Strategy Research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Value analysis, tier design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AI Workflow Projects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3333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Automation, classification</w:t>
            </w:r>
          </w:p>
        </w:tc>
      </w:tr>
    </w:tbl>
    <w:p>
      <w:pPr>
        <w:pStyle w:val="Heading1"/>
      </w:pPr>
      <w:r>
        <w:t>Contact</w:t>
      </w:r>
    </w:p>
    <w:p>
      <w:r>
        <w:rPr>
          <w:b/>
        </w:rPr>
        <w:t>Email: </w:t>
      </w:r>
      <w:r>
        <w:t>santiago.garces.blevine@gmail.com</w:t>
      </w:r>
    </w:p>
    <w:p>
      <w:r>
        <w:rPr>
          <w:b/>
        </w:rPr>
        <w:t>Location: </w:t>
      </w:r>
      <w:r>
        <w:t>Medellin, Colombia (UTC-5). Working with teams across US and European time zones.</w:t>
      </w:r>
    </w:p>
    <w:sectPr>
      <w:headerReference xmlns:r="http://schemas.openxmlformats.org/officeDocument/2006/relationships" w:type="default" r:id="R4f10c5e91f2f40f0"/>
      <w:footerReference xmlns:r="http://schemas.openxmlformats.org/officeDocument/2006/relationships" w:type="default" r:id="R5bd9cd0fa3d242f1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18096"/>
      </w:rPr>
      <w:fldChar w:fldCharType="begin"/>
    </w:r>
    <w:r>
      <w:rPr>
        <w:sz w:val="16"/>
        <w:color w:val="718096"/>
      </w:rPr>
      <w:instrText xml:space="preserve"> PAGE </w:instrText>
    </w:r>
    <w:r>
      <w:rPr>
        <w:sz w:val="16"/>
        <w:color w:val="718096"/>
      </w:rPr>
      <w:fldChar w:fldCharType="separate"/>
    </w:r>
    <w:r>
      <w:rPr>
        <w:sz w:val="16"/>
        <w:color w:val="718096"/>
      </w:rPr>
      <w:t>1</w:t>
    </w:r>
    <w:r>
      <w:rPr>
        <w:sz w:val="16"/>
        <w:color w:val="71809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718096"/>
      </w:rPr>
      <w:t>Santiago Garces  |  Portfolio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sz w:val="36"/>
      <w:rFonts w:ascii="Calibri" w:hAnsi="Calibri"/>
      <w:color w:val="1a2332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sz w:val="28"/>
      <w:rFonts w:ascii="Calibri" w:hAnsi="Calibri"/>
      <w:color w:val="1a202c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sz w:val="24"/>
      <w:rFonts w:ascii="Calibri" w:hAnsi="Calibri"/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0c0385915f74a7b" /><Relationship Type="http://schemas.openxmlformats.org/officeDocument/2006/relationships/numbering" Target="/word/numbering.xml" Id="R0bb8377823cc4722" /><Relationship Type="http://schemas.openxmlformats.org/officeDocument/2006/relationships/header" Target="/word/header1.xml" Id="R4f10c5e91f2f40f0" /><Relationship Type="http://schemas.openxmlformats.org/officeDocument/2006/relationships/footer" Target="/word/footer1.xml" Id="R5bd9cd0fa3d242f1" /><Relationship Type="http://schemas.openxmlformats.org/officeDocument/2006/relationships/settings" Target="/word/settings.xml" Id="Rec3a308934bc4846" /></Relationships>
</file>