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45a3609fa904a16"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ef996c7506ee4815"/>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b/>
          <w:color w:val="f8fafc"/>
          <w:spacing w:val="30"/>
          <w:sz w:val="80"/>
        </w:rPr>
        <w:t>Portfolio Source Documents</w:t>
      </w:r>
    </w:p>
    <w:p>
      <w:pPr>
        <w:spacing w:after="600"/>
        <w:ind w:left="1200" w:right="1200"/>
        <w:jc w:val="left"/>
      </w:pPr>
      <w:r>
        <w:rPr>
          <w:color w:val="06b6d4"/>
          <w:spacing w:val="20"/>
          <w:sz w:val="28"/>
        </w:rPr>
        <w:t>Six Strategic Projects | AI, Fintech, LegalTech &amp; Commercial Transformation</w:t>
      </w:r>
    </w:p>
    <w:p>
      <w:pPr>
        <w:spacing w:after="3600"/>
        <w:ind w:left="1200" w:right="1200"/>
        <w:jc w:val="left"/>
      </w:pPr>
      <w:r>
        <w:rPr>
          <w:color w:val="f8fafc"/>
          <w:sz w:val="22"/>
        </w:rPr>
        <w:t>Client-ready case studies for regulated workflows, pricing architecture, embedded finance, and AI-augmented professional services.</w:t>
      </w:r>
    </w:p>
    <w:p>
      <w:pPr>
        <w:ind w:left="1200"/>
      </w:pPr>
      <w:r>
        <w:rPr>
          <w:color w:val="64748b"/>
          <w:sz w:val="20"/>
        </w:rPr>
        <w:t>Confidential  |  Strategic Portfolio  |  2026</w:t>
      </w:r>
    </w:p>
    <w:p>
      <w:pPr>
        <w:sectPr>
          <w:type w:val="nextPage"/>
          <w:pgSz w:w="11906" w:h="16838"/>
          <w:pgMar w:top="0" w:right="0" w:bottom="0" w:left="0" w:header="0" w:footer="0"/>
          <w:titlePg/>
        </w:sectPr>
      </w:pPr>
    </w:p>
    <w:p>
      <w:pPr>
        <w:spacing w:before="400" w:after="400"/>
        <w:jc w:val="left"/>
      </w:pPr>
      <w:r>
        <w:rPr>
          <w:b/>
          <w:color w:val="0f172a"/>
          <w:sz w:val="40"/>
        </w:rPr>
        <w:t>Table of Contents</w:t>
      </w:r>
    </w:p>
    <w:p>
      <w:pPr>
        <w:spacing w:after="200"/>
      </w:pPr>
      <w:r>
        <w:rPr>
          <w:color w:val="64748b"/>
          <w:sz w:val="18"/>
        </w:rPr>
        <w:t>Right-click and select Update Field to refresh page numbers</w:t>
      </w:r>
    </w:p>
    <w:p>
      <w:r>
        <w:fldChar w:fldCharType="begin"/>
      </w:r>
      <w:r>
        <w:instrText xml:space="preserve"> TOC \o "1-3" \h \z \u </w:instrText>
      </w:r>
      <w:r>
        <w:fldChar w:fldCharType="separate"/>
      </w:r>
    </w:p>
    <w:p>
      <w:pPr>
        <w:pStyle w:val="TOC1"/>
      </w:pPr>
      <w:r>
        <w:t>Project 1: AI Routing for Audit Intake Control</w:t>
      </w:r>
      <w:r>
        <w:tab/>
      </w:r>
      <w:r>
        <w:t>3</w:t>
      </w:r>
    </w:p>
    <w:p>
      <w:pPr>
        <w:pStyle w:val="TOC1"/>
      </w:pPr>
      <w:r>
        <w:t>Project 2: B2B SaaS Pricing Architecture</w:t>
      </w:r>
      <w:r>
        <w:tab/>
      </w:r>
      <w:r>
        <w:t>9</w:t>
      </w:r>
    </w:p>
    <w:p>
      <w:pPr>
        <w:pStyle w:val="TOC1"/>
      </w:pPr>
      <w:r>
        <w:t>Project 3: Embedded Finance Investment Memo</w:t>
      </w:r>
      <w:r>
        <w:tab/>
      </w:r>
      <w:r>
        <w:t>15</w:t>
      </w:r>
    </w:p>
    <w:p>
      <w:pPr>
        <w:pStyle w:val="TOC1"/>
      </w:pPr>
      <w:r>
        <w:t>Project 4: Pricing-Led Fintech Strategy Brief</w:t>
      </w:r>
      <w:r>
        <w:tab/>
      </w:r>
      <w:r>
        <w:t>21</w:t>
      </w:r>
    </w:p>
    <w:p>
      <w:pPr>
        <w:pStyle w:val="TOC1"/>
      </w:pPr>
      <w:r>
        <w:t>Project 5: Marketplace Embedded Finance Strategy</w:t>
      </w:r>
      <w:r>
        <w:tab/>
      </w:r>
      <w:r>
        <w:t>27</w:t>
      </w:r>
    </w:p>
    <w:p>
      <w:pPr>
        <w:pStyle w:val="TOC1"/>
      </w:pPr>
      <w:r>
        <w:t>Project 6: AI-Augmented M&amp;A Due Diligence</w:t>
      </w:r>
      <w:r>
        <w:tab/>
      </w:r>
      <w:r>
        <w:t>33</w:t>
      </w:r>
    </w:p>
    <w:p>
      <w:r>
        <w:fldChar w:fldCharType="end"/>
      </w:r>
    </w:p>
    <w:p>
      <w:pPr>
        <w:sectPr>
          <w:type w:val="nextPage"/>
          <w:pgSz w:w="11906" w:h="16838"/>
          <w:pgMar w:top="1800" w:right="1440" w:bottom="1440" w:left="1440" w:header="720" w:footer="720"/>
        </w:sectPr>
      </w:pPr>
    </w:p>
    <w:p>
      <w:pPr>
        <w:pageBreakBefore/>
      </w:pPr>
    </w:p>
    <w:p>
      <w:pPr>
        <w:pStyle w:val="Heading1"/>
      </w:pPr>
      <w:r>
        <w:t>Project 1: AI Routing for Audit Intake Control</w:t>
      </w:r>
      <w:bookmarkStart w:name="_P1" w:id="1"/>
      <w:bookmarkEnd w:id="1"/>
    </w:p>
    <w:p>
      <w:r>
        <w:rPr>
          <w:b/>
        </w:rPr>
        <w:t>Strategic Subtitle: </w:t>
      </w:r>
      <w:r>
        <w:t>Reducing intake friction while preserving financial-services control standards</w:t>
      </w:r>
    </w:p>
    <w:p>
      <w:r>
        <w:rPr>
          <w:b/>
        </w:rPr>
        <w:t>Commercial Promise: </w:t>
      </w:r>
      <w:r>
        <w:t>A controlled AI workflow that accelerates audit request handling without weakening governance, ownership, or expert review.</w:t>
      </w:r>
    </w:p>
    <w:p>
      <w:r>
        <w:rPr>
          <w:b/>
        </w:rPr>
        <w:t>Category: </w:t>
      </w:r>
      <w:r>
        <w:t>Operational Intelligence, AI Workflow Design, Regulated Process Transformation</w:t>
      </w:r>
    </w:p>
    <w:p>
      <w:r>
        <w:rPr>
          <w:b/>
        </w:rPr>
        <w:t>Context: </w:t>
      </w:r>
      <w:r>
        <w:t>Mid-sized financial-services institution, internal audit function, compliance operations team.</w:t>
      </w:r>
    </w:p>
    <w:p>
      <w:pPr>
        <w:pStyle w:val="Heading2"/>
      </w:pPr>
      <w:r>
        <w:t>Executive Summary</w:t>
      </w:r>
    </w:p>
    <w:p>
      <w:r>
        <w:t>This project transformed a high-volume audit intake process from a manual triage queue into a controlled AI-assisted routing system. The work addressed a common problem in regulated operations: senior staff were spending too much time sorting, classifying, prioritizing, and assigning incoming audit requirements before any meaningful review work could begin.</w:t>
      </w:r>
    </w:p>
    <w:p>
      <w:r>
        <w:t>The solution introduced a structured intake-to-review workflow where AI supports classification, routing, metadata extraction, queue visibility, and exception detection while human reviewers retain decision ownership. The resulting operating model improved intake speed, reduced misrouting, and made control quality measurable.</w:t>
      </w:r>
    </w:p>
    <w:p>
      <w:pPr>
        <w:pStyle w:val="Heading2"/>
      </w:pPr>
      <w:r>
        <w:t>Project Context</w:t>
      </w:r>
    </w:p>
    <w:p>
      <w:r>
        <w:t>The client environment was a regulated financial-services operation handling hundreds of audit, compliance, policy, and control-related requests across legal, finance, operations, and internal control teams. Request volume was increasing, but the intake process depended heavily on manual interpretation.</w:t>
      </w:r>
    </w:p>
    <w:p>
      <w:r>
        <w:t>Existing pain points included:</w:t>
      </w:r>
    </w:p>
    <w:p>
      <w:pPr>
        <w:ind w:left="720"/>
      </w:pPr>
      <w:r>
        <w:t>• Audit requirements arrived in inconsistent formats and with uneven context.</w:t>
      </w:r>
    </w:p>
    <w:p>
      <w:pPr>
        <w:ind w:left="720"/>
      </w:pPr>
      <w:r>
        <w:t>• Senior staff had to read and classify requests before assigning them.</w:t>
      </w:r>
    </w:p>
    <w:p>
      <w:pPr>
        <w:ind w:left="720"/>
      </w:pPr>
      <w:r>
        <w:t>• Similar items were routed differently depending on reviewer judgment.</w:t>
      </w:r>
    </w:p>
    <w:p>
      <w:pPr>
        <w:ind w:left="720"/>
      </w:pPr>
      <w:r>
        <w:t>• Queue status was hard to track across functions.</w:t>
      </w:r>
    </w:p>
    <w:p>
      <w:pPr>
        <w:ind w:left="720"/>
      </w:pPr>
      <w:r>
        <w:t>• Control checks existed, but they were embedded in manual follow-up behavior rather than visible workflow logic.</w:t>
      </w:r>
    </w:p>
    <w:p>
      <w:r>
        <w:t>What was at stake was not only efficiency. Misrouted or delayed audit items could create missed deadlines, duplicated review, weak ownership, incomplete audit trails, and avoidable compliance exposure.</w:t>
      </w:r>
    </w:p>
    <w:p>
      <w:pPr>
        <w:pStyle w:val="Heading2"/>
      </w:pPr>
      <w:r>
        <w:t>Problem Statement</w:t>
      </w:r>
    </w:p>
    <w:p>
      <w:r>
        <w:t>The core problem was that audit intake combined administrative mechanics with expert judgment. Every incoming item had to be manually read, categorized, prioritized, assigned, tracked, and followed up. This created a process where skilled professionals spent a meaningful share of their time moving work through the system instead of resolving risk.</w:t>
      </w:r>
    </w:p>
    <w:p>
      <w:r>
        <w:t>Stakeholder friction appeared in four ways: request owners lacked clarity on where items stood; review teams received inconsistent routing and context; managers had limited visibility into queue pressure and aging items; control teams had to rely on after-the-fact reconciliation to confirm process quality.</w:t>
      </w:r>
    </w:p>
    <w:p>
      <w:pPr>
        <w:pStyle w:val="Heading2"/>
      </w:pPr>
      <w:r>
        <w:t>Project Goals</w:t>
      </w:r>
    </w:p>
    <w:p>
      <w:pPr>
        <w:ind w:left="720"/>
      </w:pPr>
      <w:r>
        <w:t>• Improve workflow clarity: Create one visible intake-to-review model with defined stages, ownership, and status logic.</w:t>
      </w:r>
    </w:p>
    <w:p>
      <w:pPr>
        <w:ind w:left="720"/>
      </w:pPr>
      <w:r>
        <w:t>• Reduce manual triage effort: Use AI-assisted classification and extraction to remove repetitive sorting work.</w:t>
      </w:r>
    </w:p>
    <w:p>
      <w:pPr>
        <w:ind w:left="720"/>
      </w:pPr>
      <w:r>
        <w:t>• Increase process visibility: Provide queue, aging, routing health, and control-check views for managers.</w:t>
      </w:r>
    </w:p>
    <w:p>
      <w:pPr>
        <w:ind w:left="720"/>
      </w:pPr>
      <w:r>
        <w:t>• Preserve control strength: Keep human review checkpoints, segregation of duties, audit trails, and exception monitoring.</w:t>
      </w:r>
    </w:p>
    <w:p>
      <w:pPr>
        <w:ind w:left="720"/>
      </w:pPr>
      <w:r>
        <w:t>• Improve assignment quality: Route requests to the right team based on category, risk, urgency, and ownership rules.</w:t>
      </w:r>
    </w:p>
    <w:p>
      <w:pPr>
        <w:ind w:left="720"/>
      </w:pPr>
      <w:r>
        <w:t>• Support faster decision-making: Give reviewers structured context before they begin expert analysis.</w:t>
      </w:r>
    </w:p>
    <w:p>
      <w:pPr>
        <w:ind w:left="720"/>
      </w:pPr>
      <w:r>
        <w:t>• Reduce operational risk: Lower misroutes, delays, lost items, and undocumented judgment calls.</w:t>
      </w:r>
    </w:p>
    <w:p>
      <w:pPr>
        <w:pStyle w:val="Heading2"/>
      </w:pPr>
      <w:r>
        <w:t>Strategic Approach</w:t>
      </w:r>
    </w:p>
    <w:p>
      <w:r>
        <w:t>The project used a practical operating-model redesign approach:</w:t>
      </w:r>
    </w:p>
    <w:p>
      <w:pPr>
        <w:ind w:left="720"/>
      </w:pPr>
      <w:r>
        <w:t>1. Discovery: Reviewed existing intake channels, request types, queue data, assignment logic, and control expectations.</w:t>
      </w:r>
    </w:p>
    <w:p>
      <w:pPr>
        <w:ind w:left="720"/>
      </w:pPr>
      <w:r>
        <w:t>2. Stakeholder analysis: Mapped needs of audit managers, legal reviewers, finance owners, operations teams, and control leads.</w:t>
      </w:r>
    </w:p>
    <w:p>
      <w:pPr>
        <w:ind w:left="720"/>
      </w:pPr>
      <w:r>
        <w:t>3. Workflow mapping: Separated low-value mechanics from high-value judgment across the intake lifecycle.</w:t>
      </w:r>
    </w:p>
    <w:p>
      <w:pPr>
        <w:ind w:left="720"/>
      </w:pPr>
      <w:r>
        <w:t>4. Pain point identification: Identified where manual review slowed throughput, introduced inconsistency, or weakened visibility.</w:t>
      </w:r>
    </w:p>
    <w:p>
      <w:pPr>
        <w:ind w:left="720"/>
      </w:pPr>
      <w:r>
        <w:t>5. UX/UI structuring: Designed a dashboard-like workflow hierarchy showing intake, classification, routing, review, and measurement.</w:t>
      </w:r>
    </w:p>
    <w:p>
      <w:pPr>
        <w:ind w:left="720"/>
      </w:pPr>
      <w:r>
        <w:t>6. Risk control definition: Built human checkpoints, routing rules, confidence thresholds, and audit-trail requirements into the model.</w:t>
      </w:r>
    </w:p>
    <w:p>
      <w:pPr>
        <w:ind w:left="720"/>
      </w:pPr>
      <w:r>
        <w:t>7. Solution framing: Positioned AI as a workflow accelerator and control-support layer, not as a final decision-maker.</w:t>
      </w:r>
    </w:p>
    <w:p>
      <w:pPr>
        <w:ind w:left="720"/>
      </w:pPr>
      <w:r>
        <w:t>8. Validation logic: Defined measurable success indicators such as route accuracy, cycle time, queue aging, review throughput, and exception rate.</w:t>
      </w:r>
    </w:p>
    <w:p>
      <w:pPr>
        <w:pStyle w:val="Heading2"/>
      </w:pPr>
      <w:r>
        <w:t>Solution Overview</w:t>
      </w:r>
    </w:p>
    <w:p>
      <w:r>
        <w:t>The solution was an AI-assisted audit intake routing system. It translated unstructured audit requirements into structured work items, routed them to appropriate owners, and gave managers an operating view of queue health and control quality.</w:t>
      </w:r>
    </w:p>
    <w:p>
      <w:r>
        <w:t>Main components included:</w:t>
      </w:r>
    </w:p>
    <w:p>
      <w:pPr>
        <w:ind w:left="720"/>
      </w:pPr>
      <w:r>
        <w:t>• Intake capture: Centralized submission with required fields, source metadata, request category, and deadline signals.</w:t>
      </w:r>
    </w:p>
    <w:p>
      <w:pPr>
        <w:ind w:left="720"/>
      </w:pPr>
      <w:r>
        <w:t>• AI classification: Automated categorization by topic, function, urgency, risk, and required review type.</w:t>
      </w:r>
    </w:p>
    <w:p>
      <w:pPr>
        <w:ind w:left="720"/>
      </w:pPr>
      <w:r>
        <w:t>• Context extraction: Identification of key terms, affected policies, control references, owner groups, and follow-up requirements.</w:t>
      </w:r>
    </w:p>
    <w:p>
      <w:pPr>
        <w:ind w:left="720"/>
      </w:pPr>
      <w:r>
        <w:t>• Routing rules: Intelligent routing based on taxonomy, risk tier, ownership map, and capacity constraints.</w:t>
      </w:r>
    </w:p>
    <w:p>
      <w:pPr>
        <w:ind w:left="720"/>
      </w:pPr>
      <w:r>
        <w:t>• Human review: Expert reviewers validate AI output, accept assignments, correct classifications, and resolve ambiguity.</w:t>
      </w:r>
    </w:p>
    <w:p>
      <w:pPr>
        <w:ind w:left="720"/>
      </w:pPr>
      <w:r>
        <w:t>• Control dashboard: Displays route success, misroute rate, policy compliance checks, segregation of duties, audit trail capture, and exception monitoring.</w:t>
      </w:r>
    </w:p>
    <w:p>
      <w:pPr>
        <w:ind w:left="720"/>
      </w:pPr>
      <w:r>
        <w:t>• Exception workflow: Low-confidence or high-risk items are escalated for manual review before routing is finalized.</w:t>
      </w:r>
    </w:p>
    <w:p>
      <w:pPr>
        <w:pStyle w:val="Heading2"/>
      </w:pPr>
      <w:r>
        <w:t>UX/UI and Design Decisions</w:t>
      </w:r>
    </w:p>
    <w:p>
      <w:r>
        <w:t>The interface logic used a dark navy executive dashboard style with cyan flow indicators and green control/impact signals. This visual direction supports trust in a regulated environment because it communicates precision, visibility, and control rather than novelty.</w:t>
      </w:r>
    </w:p>
    <w:p>
      <w:r>
        <w:t>Key design decisions: Information architecture organized the workflow into four primary stages (intake, classification, routing, review); visual hierarchy placed high-level metrics at the top for executive scanning; process clarity used a left-to-right workflow; risk visibility separated control checks from throughput metrics; decision support displayed routing health, accuracy trends, queue volume, and control status in one operating panel; trust-building used confidence, validation, and review status signals to show that automation remains supervised.</w:t>
      </w:r>
    </w:p>
    <w:p>
      <w:pPr>
        <w:pStyle w:val="Heading2"/>
      </w:pPr>
      <w:r>
        <w:t>Workflow or Operating Model</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1400"/>
        <w:gridCol w:w="2200"/>
        <w:gridCol w:w="1600"/>
        <w:gridCol w:w="1800"/>
        <w:gridCol w:w="1400"/>
        <w:gridCol w:w="1600"/>
      </w:tblGrid>
      <w:tr>
        <w:trPr>
          <w:tblHeader/>
        </w:trPr>
        <w:tc>
          <w:tcPr>
            <w:tcW w:w="1400" w:type="dxa"/>
            <w:shd w:val="clear" w:fill="f1f5f9"/>
          </w:tcPr>
          <w:p>
            <w:pPr>
              <w:spacing w:before="60" w:after="60"/>
              <w:jc w:val="left"/>
            </w:pPr>
            <w:r>
              <w:rPr>
                <w:b/>
                <w:color w:val="0f172a"/>
                <w:sz w:val="20"/>
              </w:rPr>
              <w:t>Step</w:t>
            </w:r>
          </w:p>
        </w:tc>
        <w:tc>
          <w:tcPr>
            <w:tcW w:w="2200" w:type="dxa"/>
            <w:shd w:val="clear" w:fill="f1f5f9"/>
          </w:tcPr>
          <w:p>
            <w:pPr>
              <w:spacing w:before="60" w:after="60"/>
              <w:jc w:val="left"/>
            </w:pPr>
            <w:r>
              <w:rPr>
                <w:b/>
                <w:color w:val="0f172a"/>
                <w:sz w:val="20"/>
              </w:rPr>
              <w:t>Role Involved</w:t>
            </w:r>
          </w:p>
        </w:tc>
        <w:tc>
          <w:tcPr>
            <w:tcW w:w="1600" w:type="dxa"/>
            <w:shd w:val="clear" w:fill="f1f5f9"/>
          </w:tcPr>
          <w:p>
            <w:pPr>
              <w:spacing w:before="60" w:after="60"/>
              <w:jc w:val="left"/>
            </w:pPr>
            <w:r>
              <w:rPr>
                <w:b/>
                <w:color w:val="0f172a"/>
                <w:sz w:val="20"/>
              </w:rPr>
              <w:t>Input</w:t>
            </w:r>
          </w:p>
        </w:tc>
        <w:tc>
          <w:tcPr>
            <w:tcW w:w="1800" w:type="dxa"/>
            <w:shd w:val="clear" w:fill="f1f5f9"/>
          </w:tcPr>
          <w:p>
            <w:pPr>
              <w:spacing w:before="60" w:after="60"/>
              <w:jc w:val="left"/>
            </w:pPr>
            <w:r>
              <w:rPr>
                <w:b/>
                <w:color w:val="0f172a"/>
                <w:sz w:val="20"/>
              </w:rPr>
              <w:t>Action</w:t>
            </w:r>
          </w:p>
        </w:tc>
        <w:tc>
          <w:tcPr>
            <w:tcW w:w="1400" w:type="dxa"/>
            <w:shd w:val="clear" w:fill="f1f5f9"/>
          </w:tcPr>
          <w:p>
            <w:pPr>
              <w:spacing w:before="60" w:after="60"/>
              <w:jc w:val="left"/>
            </w:pPr>
            <w:r>
              <w:rPr>
                <w:b/>
                <w:color w:val="0f172a"/>
                <w:sz w:val="20"/>
              </w:rPr>
              <w:t>Output</w:t>
            </w:r>
          </w:p>
        </w:tc>
        <w:tc>
          <w:tcPr>
            <w:tcW w:w="1600" w:type="dxa"/>
            <w:shd w:val="clear" w:fill="f1f5f9"/>
          </w:tcPr>
          <w:p>
            <w:pPr>
              <w:spacing w:before="60" w:after="60"/>
              <w:jc w:val="left"/>
            </w:pPr>
            <w:r>
              <w:rPr>
                <w:b/>
                <w:color w:val="0f172a"/>
                <w:sz w:val="20"/>
              </w:rPr>
              <w:t>Control Mechanism</w:t>
            </w:r>
          </w:p>
        </w:tc>
      </w:tr>
      <w:tr>
        <w:tc>
          <w:tcPr>
            <w:tcW w:w="1400" w:type="dxa"/>
          </w:tcPr>
          <w:p>
            <w:pPr>
              <w:spacing w:before="40" w:after="40"/>
              <w:jc w:val="left"/>
            </w:pPr>
            <w:r>
              <w:rPr>
                <w:color w:val="334155"/>
                <w:sz w:val="20"/>
              </w:rPr>
              <w:t>1. Capture</w:t>
            </w:r>
          </w:p>
        </w:tc>
        <w:tc>
          <w:tcPr>
            <w:tcW w:w="2200" w:type="dxa"/>
          </w:tcPr>
          <w:p>
            <w:pPr>
              <w:spacing w:before="40" w:after="40"/>
              <w:jc w:val="left"/>
            </w:pPr>
            <w:r>
              <w:rPr>
                <w:color w:val="334155"/>
                <w:sz w:val="20"/>
              </w:rPr>
              <w:t>Request owner, intake coordinator</w:t>
            </w:r>
          </w:p>
        </w:tc>
        <w:tc>
          <w:tcPr>
            <w:tcW w:w="1600" w:type="dxa"/>
          </w:tcPr>
          <w:p>
            <w:pPr>
              <w:spacing w:before="40" w:after="40"/>
              <w:jc w:val="left"/>
            </w:pPr>
            <w:r>
              <w:rPr>
                <w:color w:val="334155"/>
                <w:sz w:val="20"/>
              </w:rPr>
              <w:t>Audit request, deadline, source context</w:t>
            </w:r>
          </w:p>
        </w:tc>
        <w:tc>
          <w:tcPr>
            <w:tcW w:w="1800" w:type="dxa"/>
          </w:tcPr>
          <w:p>
            <w:pPr>
              <w:spacing w:before="40" w:after="40"/>
              <w:jc w:val="left"/>
            </w:pPr>
            <w:r>
              <w:rPr>
                <w:color w:val="334155"/>
                <w:sz w:val="20"/>
              </w:rPr>
              <w:t>Submit and validate required fields</w:t>
            </w:r>
          </w:p>
        </w:tc>
        <w:tc>
          <w:tcPr>
            <w:tcW w:w="1400" w:type="dxa"/>
          </w:tcPr>
          <w:p>
            <w:pPr>
              <w:spacing w:before="40" w:after="40"/>
              <w:jc w:val="left"/>
            </w:pPr>
            <w:r>
              <w:rPr>
                <w:color w:val="334155"/>
                <w:sz w:val="20"/>
              </w:rPr>
              <w:t>Structured intake record</w:t>
            </w:r>
          </w:p>
        </w:tc>
        <w:tc>
          <w:tcPr>
            <w:tcW w:w="1600" w:type="dxa"/>
          </w:tcPr>
          <w:p>
            <w:pPr>
              <w:spacing w:before="40" w:after="40"/>
              <w:jc w:val="left"/>
            </w:pPr>
            <w:r>
              <w:rPr>
                <w:color w:val="334155"/>
                <w:sz w:val="20"/>
              </w:rPr>
              <w:t>Mandatory fields and source metadata</w:t>
            </w:r>
          </w:p>
        </w:tc>
      </w:tr>
      <w:tr>
        <w:tc>
          <w:tcPr>
            <w:tcW w:w="1400" w:type="dxa"/>
          </w:tcPr>
          <w:p>
            <w:pPr>
              <w:spacing w:before="40" w:after="40"/>
              <w:jc w:val="left"/>
            </w:pPr>
            <w:r>
              <w:rPr>
                <w:color w:val="334155"/>
                <w:sz w:val="20"/>
              </w:rPr>
              <w:t>2. Classify</w:t>
            </w:r>
          </w:p>
        </w:tc>
        <w:tc>
          <w:tcPr>
            <w:tcW w:w="2200" w:type="dxa"/>
          </w:tcPr>
          <w:p>
            <w:pPr>
              <w:spacing w:before="40" w:after="40"/>
              <w:jc w:val="left"/>
            </w:pPr>
            <w:r>
              <w:rPr>
                <w:color w:val="334155"/>
                <w:sz w:val="20"/>
              </w:rPr>
              <w:t>AI classifier, control analyst</w:t>
            </w:r>
          </w:p>
        </w:tc>
        <w:tc>
          <w:tcPr>
            <w:tcW w:w="1600" w:type="dxa"/>
          </w:tcPr>
          <w:p>
            <w:pPr>
              <w:spacing w:before="40" w:after="40"/>
              <w:jc w:val="left"/>
            </w:pPr>
            <w:r>
              <w:rPr>
                <w:color w:val="334155"/>
                <w:sz w:val="20"/>
              </w:rPr>
              <w:t>Intake record</w:t>
            </w:r>
          </w:p>
        </w:tc>
        <w:tc>
          <w:tcPr>
            <w:tcW w:w="1800" w:type="dxa"/>
          </w:tcPr>
          <w:p>
            <w:pPr>
              <w:spacing w:before="40" w:after="40"/>
              <w:jc w:val="left"/>
            </w:pPr>
            <w:r>
              <w:rPr>
                <w:color w:val="334155"/>
                <w:sz w:val="20"/>
              </w:rPr>
              <w:t>Categorize by type, urgency, risk, and function</w:t>
            </w:r>
          </w:p>
        </w:tc>
        <w:tc>
          <w:tcPr>
            <w:tcW w:w="1400" w:type="dxa"/>
          </w:tcPr>
          <w:p>
            <w:pPr>
              <w:spacing w:before="40" w:after="40"/>
              <w:jc w:val="left"/>
            </w:pPr>
            <w:r>
              <w:rPr>
                <w:color w:val="334155"/>
                <w:sz w:val="20"/>
              </w:rPr>
              <w:t>Draft classification</w:t>
            </w:r>
          </w:p>
        </w:tc>
        <w:tc>
          <w:tcPr>
            <w:tcW w:w="1600" w:type="dxa"/>
          </w:tcPr>
          <w:p>
            <w:pPr>
              <w:spacing w:before="40" w:after="40"/>
              <w:jc w:val="left"/>
            </w:pPr>
            <w:r>
              <w:rPr>
                <w:color w:val="334155"/>
                <w:sz w:val="20"/>
              </w:rPr>
              <w:t>Confidence score and taxonomy match</w:t>
            </w:r>
          </w:p>
        </w:tc>
      </w:tr>
      <w:tr>
        <w:tc>
          <w:tcPr>
            <w:tcW w:w="1400" w:type="dxa"/>
          </w:tcPr>
          <w:p>
            <w:pPr>
              <w:spacing w:before="40" w:after="40"/>
              <w:jc w:val="left"/>
            </w:pPr>
            <w:r>
              <w:rPr>
                <w:color w:val="334155"/>
                <w:sz w:val="20"/>
              </w:rPr>
              <w:t>3. Route</w:t>
            </w:r>
          </w:p>
        </w:tc>
        <w:tc>
          <w:tcPr>
            <w:tcW w:w="2200" w:type="dxa"/>
          </w:tcPr>
          <w:p>
            <w:pPr>
              <w:spacing w:before="40" w:after="40"/>
              <w:jc w:val="left"/>
            </w:pPr>
            <w:r>
              <w:rPr>
                <w:color w:val="334155"/>
                <w:sz w:val="20"/>
              </w:rPr>
              <w:t>Workflow engine, team lead</w:t>
            </w:r>
          </w:p>
        </w:tc>
        <w:tc>
          <w:tcPr>
            <w:tcW w:w="1600" w:type="dxa"/>
          </w:tcPr>
          <w:p>
            <w:pPr>
              <w:spacing w:before="40" w:after="40"/>
              <w:jc w:val="left"/>
            </w:pPr>
            <w:r>
              <w:rPr>
                <w:color w:val="334155"/>
                <w:sz w:val="20"/>
              </w:rPr>
              <w:t>Classification and ownership rules</w:t>
            </w:r>
          </w:p>
        </w:tc>
        <w:tc>
          <w:tcPr>
            <w:tcW w:w="1800" w:type="dxa"/>
          </w:tcPr>
          <w:p>
            <w:pPr>
              <w:spacing w:before="40" w:after="40"/>
              <w:jc w:val="left"/>
            </w:pPr>
            <w:r>
              <w:rPr>
                <w:color w:val="334155"/>
                <w:sz w:val="20"/>
              </w:rPr>
              <w:t>Assign to legal, finance, operations, or controls</w:t>
            </w:r>
          </w:p>
        </w:tc>
        <w:tc>
          <w:tcPr>
            <w:tcW w:w="1400" w:type="dxa"/>
          </w:tcPr>
          <w:p>
            <w:pPr>
              <w:spacing w:before="40" w:after="40"/>
              <w:jc w:val="left"/>
            </w:pPr>
            <w:r>
              <w:rPr>
                <w:color w:val="334155"/>
                <w:sz w:val="20"/>
              </w:rPr>
              <w:t>Routed work item</w:t>
            </w:r>
          </w:p>
        </w:tc>
        <w:tc>
          <w:tcPr>
            <w:tcW w:w="1600" w:type="dxa"/>
          </w:tcPr>
          <w:p>
            <w:pPr>
              <w:spacing w:before="40" w:after="40"/>
              <w:jc w:val="left"/>
            </w:pPr>
            <w:r>
              <w:rPr>
                <w:color w:val="334155"/>
                <w:sz w:val="20"/>
              </w:rPr>
              <w:t>Segregation of duties and owner map</w:t>
            </w:r>
          </w:p>
        </w:tc>
      </w:tr>
      <w:tr>
        <w:tc>
          <w:tcPr>
            <w:tcW w:w="1400" w:type="dxa"/>
          </w:tcPr>
          <w:p>
            <w:pPr>
              <w:spacing w:before="40" w:after="40"/>
              <w:jc w:val="left"/>
            </w:pPr>
            <w:r>
              <w:rPr>
                <w:color w:val="334155"/>
                <w:sz w:val="20"/>
              </w:rPr>
              <w:t>4. Review</w:t>
            </w:r>
          </w:p>
        </w:tc>
        <w:tc>
          <w:tcPr>
            <w:tcW w:w="2200" w:type="dxa"/>
          </w:tcPr>
          <w:p>
            <w:pPr>
              <w:spacing w:before="40" w:after="40"/>
              <w:jc w:val="left"/>
            </w:pPr>
            <w:r>
              <w:rPr>
                <w:color w:val="334155"/>
                <w:sz w:val="20"/>
              </w:rPr>
              <w:t>Expert reviewer</w:t>
            </w:r>
          </w:p>
        </w:tc>
        <w:tc>
          <w:tcPr>
            <w:tcW w:w="1600" w:type="dxa"/>
          </w:tcPr>
          <w:p>
            <w:pPr>
              <w:spacing w:before="40" w:after="40"/>
              <w:jc w:val="left"/>
            </w:pPr>
            <w:r>
              <w:rPr>
                <w:color w:val="334155"/>
                <w:sz w:val="20"/>
              </w:rPr>
              <w:t>Routed item and extracted context</w:t>
            </w:r>
          </w:p>
        </w:tc>
        <w:tc>
          <w:tcPr>
            <w:tcW w:w="1800" w:type="dxa"/>
          </w:tcPr>
          <w:p>
            <w:pPr>
              <w:spacing w:before="40" w:after="40"/>
              <w:jc w:val="left"/>
            </w:pPr>
            <w:r>
              <w:rPr>
                <w:color w:val="334155"/>
                <w:sz w:val="20"/>
              </w:rPr>
              <w:t>Validate, correct, approve, or escalate</w:t>
            </w:r>
          </w:p>
        </w:tc>
        <w:tc>
          <w:tcPr>
            <w:tcW w:w="1400" w:type="dxa"/>
          </w:tcPr>
          <w:p>
            <w:pPr>
              <w:spacing w:before="40" w:after="40"/>
              <w:jc w:val="left"/>
            </w:pPr>
            <w:r>
              <w:rPr>
                <w:color w:val="334155"/>
                <w:sz w:val="20"/>
              </w:rPr>
              <w:t>Reviewed decision</w:t>
            </w:r>
          </w:p>
        </w:tc>
        <w:tc>
          <w:tcPr>
            <w:tcW w:w="1600" w:type="dxa"/>
          </w:tcPr>
          <w:p>
            <w:pPr>
              <w:spacing w:before="40" w:after="40"/>
              <w:jc w:val="left"/>
            </w:pPr>
            <w:r>
              <w:rPr>
                <w:color w:val="334155"/>
                <w:sz w:val="20"/>
              </w:rPr>
              <w:t>Human-in-the-loop checkpoint</w:t>
            </w:r>
          </w:p>
        </w:tc>
      </w:tr>
      <w:tr>
        <w:tc>
          <w:tcPr>
            <w:tcW w:w="1400" w:type="dxa"/>
          </w:tcPr>
          <w:p>
            <w:pPr>
              <w:spacing w:before="40" w:after="40"/>
              <w:jc w:val="left"/>
            </w:pPr>
            <w:r>
              <w:rPr>
                <w:color w:val="334155"/>
                <w:sz w:val="20"/>
              </w:rPr>
              <w:t>5. Monitor</w:t>
            </w:r>
          </w:p>
        </w:tc>
        <w:tc>
          <w:tcPr>
            <w:tcW w:w="2200" w:type="dxa"/>
          </w:tcPr>
          <w:p>
            <w:pPr>
              <w:spacing w:before="40" w:after="40"/>
              <w:jc w:val="left"/>
            </w:pPr>
            <w:r>
              <w:rPr>
                <w:color w:val="334155"/>
                <w:sz w:val="20"/>
              </w:rPr>
              <w:t>Audit manager, control lead</w:t>
            </w:r>
          </w:p>
        </w:tc>
        <w:tc>
          <w:tcPr>
            <w:tcW w:w="1600" w:type="dxa"/>
          </w:tcPr>
          <w:p>
            <w:pPr>
              <w:spacing w:before="40" w:after="40"/>
              <w:jc w:val="left"/>
            </w:pPr>
            <w:r>
              <w:rPr>
                <w:color w:val="334155"/>
                <w:sz w:val="20"/>
              </w:rPr>
              <w:t>Workflow data</w:t>
            </w:r>
          </w:p>
        </w:tc>
        <w:tc>
          <w:tcPr>
            <w:tcW w:w="1800" w:type="dxa"/>
          </w:tcPr>
          <w:p>
            <w:pPr>
              <w:spacing w:before="40" w:after="40"/>
              <w:jc w:val="left"/>
            </w:pPr>
            <w:r>
              <w:rPr>
                <w:color w:val="334155"/>
                <w:sz w:val="20"/>
              </w:rPr>
              <w:t>Track throughput, misroutes, aging, exceptions</w:t>
            </w:r>
          </w:p>
        </w:tc>
        <w:tc>
          <w:tcPr>
            <w:tcW w:w="1400" w:type="dxa"/>
          </w:tcPr>
          <w:p>
            <w:pPr>
              <w:spacing w:before="40" w:after="40"/>
              <w:jc w:val="left"/>
            </w:pPr>
            <w:r>
              <w:rPr>
                <w:color w:val="334155"/>
                <w:sz w:val="20"/>
              </w:rPr>
              <w:t>Operating dashboard</w:t>
            </w:r>
          </w:p>
        </w:tc>
        <w:tc>
          <w:tcPr>
            <w:tcW w:w="1600" w:type="dxa"/>
          </w:tcPr>
          <w:p>
            <w:pPr>
              <w:spacing w:before="40" w:after="40"/>
              <w:jc w:val="left"/>
            </w:pPr>
            <w:r>
              <w:rPr>
                <w:color w:val="334155"/>
                <w:sz w:val="20"/>
              </w:rPr>
              <w:t>Audit trail and exception log</w:t>
            </w:r>
          </w:p>
        </w:tc>
      </w:tr>
    </w:tbl>
    <w:p>
      <w:pPr>
        <w:spacing w:before="80" w:after="160"/>
      </w:pPr>
    </w:p>
    <w:p>
      <w:pPr>
        <w:pStyle w:val="Heading2"/>
      </w:pPr>
      <w:r>
        <w:t>Before / After Analysis</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200"/>
        <w:gridCol w:w="2800"/>
        <w:gridCol w:w="2800"/>
        <w:gridCol w:w="2200"/>
      </w:tblGrid>
      <w:tr>
        <w:trPr>
          <w:tblHeader/>
        </w:trPr>
        <w:tc>
          <w:tcPr>
            <w:tcW w:w="2200" w:type="dxa"/>
            <w:shd w:val="clear" w:fill="f1f5f9"/>
          </w:tcPr>
          <w:p>
            <w:pPr>
              <w:spacing w:before="60" w:after="60"/>
              <w:jc w:val="left"/>
            </w:pPr>
            <w:r>
              <w:rPr>
                <w:b/>
                <w:color w:val="0f172a"/>
                <w:sz w:val="20"/>
              </w:rPr>
              <w:t>Dimension</w:t>
            </w:r>
          </w:p>
        </w:tc>
        <w:tc>
          <w:tcPr>
            <w:tcW w:w="2800" w:type="dxa"/>
            <w:shd w:val="clear" w:fill="f1f5f9"/>
          </w:tcPr>
          <w:p>
            <w:pPr>
              <w:spacing w:before="60" w:after="60"/>
              <w:jc w:val="left"/>
            </w:pPr>
            <w:r>
              <w:rPr>
                <w:b/>
                <w:color w:val="0f172a"/>
                <w:sz w:val="20"/>
              </w:rPr>
              <w:t>Before</w:t>
            </w:r>
          </w:p>
        </w:tc>
        <w:tc>
          <w:tcPr>
            <w:tcW w:w="2800" w:type="dxa"/>
            <w:shd w:val="clear" w:fill="f1f5f9"/>
          </w:tcPr>
          <w:p>
            <w:pPr>
              <w:spacing w:before="60" w:after="60"/>
              <w:jc w:val="left"/>
            </w:pPr>
            <w:r>
              <w:rPr>
                <w:b/>
                <w:color w:val="0f172a"/>
                <w:sz w:val="20"/>
              </w:rPr>
              <w:t>After</w:t>
            </w:r>
          </w:p>
        </w:tc>
        <w:tc>
          <w:tcPr>
            <w:tcW w:w="2200" w:type="dxa"/>
            <w:shd w:val="clear" w:fill="f1f5f9"/>
          </w:tcPr>
          <w:p>
            <w:pPr>
              <w:spacing w:before="60" w:after="60"/>
              <w:jc w:val="left"/>
            </w:pPr>
            <w:r>
              <w:rPr>
                <w:b/>
                <w:color w:val="0f172a"/>
                <w:sz w:val="20"/>
              </w:rPr>
              <w:t>Business Impact</w:t>
            </w:r>
          </w:p>
        </w:tc>
      </w:tr>
      <w:tr>
        <w:tc>
          <w:tcPr>
            <w:tcW w:w="2200" w:type="dxa"/>
          </w:tcPr>
          <w:p>
            <w:pPr>
              <w:spacing w:before="40" w:after="40"/>
              <w:jc w:val="left"/>
            </w:pPr>
            <w:r>
              <w:rPr>
                <w:color w:val="334155"/>
                <w:sz w:val="20"/>
              </w:rPr>
              <w:t>Intake handling</w:t>
            </w:r>
          </w:p>
        </w:tc>
        <w:tc>
          <w:tcPr>
            <w:tcW w:w="2800" w:type="dxa"/>
          </w:tcPr>
          <w:p>
            <w:pPr>
              <w:spacing w:before="40" w:after="40"/>
              <w:jc w:val="left"/>
            </w:pPr>
            <w:r>
              <w:rPr>
                <w:color w:val="334155"/>
                <w:sz w:val="20"/>
              </w:rPr>
              <w:t>Manual reading and sorting</w:t>
            </w:r>
          </w:p>
        </w:tc>
        <w:tc>
          <w:tcPr>
            <w:tcW w:w="2800" w:type="dxa"/>
          </w:tcPr>
          <w:p>
            <w:pPr>
              <w:spacing w:before="40" w:after="40"/>
              <w:jc w:val="left"/>
            </w:pPr>
            <w:r>
              <w:rPr>
                <w:color w:val="334155"/>
                <w:sz w:val="20"/>
              </w:rPr>
              <w:t>Structured AI-assisted capture and classification</w:t>
            </w:r>
          </w:p>
        </w:tc>
        <w:tc>
          <w:tcPr>
            <w:tcW w:w="2200" w:type="dxa"/>
          </w:tcPr>
          <w:p>
            <w:pPr>
              <w:spacing w:before="40" w:after="40"/>
              <w:jc w:val="left"/>
            </w:pPr>
            <w:r>
              <w:rPr>
                <w:color w:val="334155"/>
                <w:sz w:val="20"/>
              </w:rPr>
              <w:t>Faster intake with less administrative effort</w:t>
            </w:r>
          </w:p>
        </w:tc>
      </w:tr>
      <w:tr>
        <w:tc>
          <w:tcPr>
            <w:tcW w:w="2200" w:type="dxa"/>
          </w:tcPr>
          <w:p>
            <w:pPr>
              <w:spacing w:before="40" w:after="40"/>
              <w:jc w:val="left"/>
            </w:pPr>
            <w:r>
              <w:rPr>
                <w:color w:val="334155"/>
                <w:sz w:val="20"/>
              </w:rPr>
              <w:t>Routing quality</w:t>
            </w:r>
          </w:p>
        </w:tc>
        <w:tc>
          <w:tcPr>
            <w:tcW w:w="2800" w:type="dxa"/>
          </w:tcPr>
          <w:p>
            <w:pPr>
              <w:spacing w:before="40" w:after="40"/>
              <w:jc w:val="left"/>
            </w:pPr>
            <w:r>
              <w:rPr>
                <w:color w:val="334155"/>
                <w:sz w:val="20"/>
              </w:rPr>
              <w:t>Dependent on individual judgment</w:t>
            </w:r>
          </w:p>
        </w:tc>
        <w:tc>
          <w:tcPr>
            <w:tcW w:w="2800" w:type="dxa"/>
          </w:tcPr>
          <w:p>
            <w:pPr>
              <w:spacing w:before="40" w:after="40"/>
              <w:jc w:val="left"/>
            </w:pPr>
            <w:r>
              <w:rPr>
                <w:color w:val="334155"/>
                <w:sz w:val="20"/>
              </w:rPr>
              <w:t>Rules-based routing with human validation</w:t>
            </w:r>
          </w:p>
        </w:tc>
        <w:tc>
          <w:tcPr>
            <w:tcW w:w="2200" w:type="dxa"/>
          </w:tcPr>
          <w:p>
            <w:pPr>
              <w:spacing w:before="40" w:after="40"/>
              <w:jc w:val="left"/>
            </w:pPr>
            <w:r>
              <w:rPr>
                <w:color w:val="334155"/>
                <w:sz w:val="20"/>
              </w:rPr>
              <w:t>Lower misroutes and clearer ownership</w:t>
            </w:r>
          </w:p>
        </w:tc>
      </w:tr>
      <w:tr>
        <w:tc>
          <w:tcPr>
            <w:tcW w:w="2200" w:type="dxa"/>
          </w:tcPr>
          <w:p>
            <w:pPr>
              <w:spacing w:before="40" w:after="40"/>
              <w:jc w:val="left"/>
            </w:pPr>
            <w:r>
              <w:rPr>
                <w:color w:val="334155"/>
                <w:sz w:val="20"/>
              </w:rPr>
              <w:t>Control visibility</w:t>
            </w:r>
          </w:p>
        </w:tc>
        <w:tc>
          <w:tcPr>
            <w:tcW w:w="2800" w:type="dxa"/>
          </w:tcPr>
          <w:p>
            <w:pPr>
              <w:spacing w:before="40" w:after="40"/>
              <w:jc w:val="left"/>
            </w:pPr>
            <w:r>
              <w:rPr>
                <w:color w:val="334155"/>
                <w:sz w:val="20"/>
              </w:rPr>
              <w:t>Fragmented and retrospective</w:t>
            </w:r>
          </w:p>
        </w:tc>
        <w:tc>
          <w:tcPr>
            <w:tcW w:w="2800" w:type="dxa"/>
          </w:tcPr>
          <w:p>
            <w:pPr>
              <w:spacing w:before="40" w:after="40"/>
              <w:jc w:val="left"/>
            </w:pPr>
            <w:r>
              <w:rPr>
                <w:color w:val="334155"/>
                <w:sz w:val="20"/>
              </w:rPr>
              <w:t>Real-time control status and audit trail</w:t>
            </w:r>
          </w:p>
        </w:tc>
        <w:tc>
          <w:tcPr>
            <w:tcW w:w="2200" w:type="dxa"/>
          </w:tcPr>
          <w:p>
            <w:pPr>
              <w:spacing w:before="40" w:after="40"/>
              <w:jc w:val="left"/>
            </w:pPr>
            <w:r>
              <w:rPr>
                <w:color w:val="334155"/>
                <w:sz w:val="20"/>
              </w:rPr>
              <w:t>Stronger governance evidence</w:t>
            </w:r>
          </w:p>
        </w:tc>
      </w:tr>
      <w:tr>
        <w:tc>
          <w:tcPr>
            <w:tcW w:w="2200" w:type="dxa"/>
          </w:tcPr>
          <w:p>
            <w:pPr>
              <w:spacing w:before="40" w:after="40"/>
              <w:jc w:val="left"/>
            </w:pPr>
            <w:r>
              <w:rPr>
                <w:color w:val="334155"/>
                <w:sz w:val="20"/>
              </w:rPr>
              <w:t>Reviewer workload</w:t>
            </w:r>
          </w:p>
        </w:tc>
        <w:tc>
          <w:tcPr>
            <w:tcW w:w="2800" w:type="dxa"/>
          </w:tcPr>
          <w:p>
            <w:pPr>
              <w:spacing w:before="40" w:after="40"/>
              <w:jc w:val="left"/>
            </w:pPr>
            <w:r>
              <w:rPr>
                <w:color w:val="334155"/>
                <w:sz w:val="20"/>
              </w:rPr>
              <w:t>Senior staff spent time sorting</w:t>
            </w:r>
          </w:p>
        </w:tc>
        <w:tc>
          <w:tcPr>
            <w:tcW w:w="2800" w:type="dxa"/>
          </w:tcPr>
          <w:p>
            <w:pPr>
              <w:spacing w:before="40" w:after="40"/>
              <w:jc w:val="left"/>
            </w:pPr>
            <w:r>
              <w:rPr>
                <w:color w:val="334155"/>
                <w:sz w:val="20"/>
              </w:rPr>
              <w:t>Reviewers focus on exceptions and decisions</w:t>
            </w:r>
          </w:p>
        </w:tc>
        <w:tc>
          <w:tcPr>
            <w:tcW w:w="2200" w:type="dxa"/>
          </w:tcPr>
          <w:p>
            <w:pPr>
              <w:spacing w:before="40" w:after="40"/>
              <w:jc w:val="left"/>
            </w:pPr>
            <w:r>
              <w:rPr>
                <w:color w:val="334155"/>
                <w:sz w:val="20"/>
              </w:rPr>
              <w:t>Better use of expert capacity</w:t>
            </w:r>
          </w:p>
        </w:tc>
      </w:tr>
      <w:tr>
        <w:tc>
          <w:tcPr>
            <w:tcW w:w="2200" w:type="dxa"/>
          </w:tcPr>
          <w:p>
            <w:pPr>
              <w:spacing w:before="40" w:after="40"/>
              <w:jc w:val="left"/>
            </w:pPr>
            <w:r>
              <w:rPr>
                <w:color w:val="334155"/>
                <w:sz w:val="20"/>
              </w:rPr>
              <w:t>Queue management</w:t>
            </w:r>
          </w:p>
        </w:tc>
        <w:tc>
          <w:tcPr>
            <w:tcW w:w="2800" w:type="dxa"/>
          </w:tcPr>
          <w:p>
            <w:pPr>
              <w:spacing w:before="40" w:after="40"/>
              <w:jc w:val="left"/>
            </w:pPr>
            <w:r>
              <w:rPr>
                <w:color w:val="334155"/>
                <w:sz w:val="20"/>
              </w:rPr>
              <w:t>Limited cross-team visibility</w:t>
            </w:r>
          </w:p>
        </w:tc>
        <w:tc>
          <w:tcPr>
            <w:tcW w:w="2800" w:type="dxa"/>
          </w:tcPr>
          <w:p>
            <w:pPr>
              <w:spacing w:before="40" w:after="40"/>
              <w:jc w:val="left"/>
            </w:pPr>
            <w:r>
              <w:rPr>
                <w:color w:val="334155"/>
                <w:sz w:val="20"/>
              </w:rPr>
              <w:t>Shared dashboard for backlog, aging, and route health</w:t>
            </w:r>
          </w:p>
        </w:tc>
        <w:tc>
          <w:tcPr>
            <w:tcW w:w="2200" w:type="dxa"/>
          </w:tcPr>
          <w:p>
            <w:pPr>
              <w:spacing w:before="40" w:after="40"/>
              <w:jc w:val="left"/>
            </w:pPr>
            <w:r>
              <w:rPr>
                <w:color w:val="334155"/>
                <w:sz w:val="20"/>
              </w:rPr>
              <w:t>Faster management intervention</w:t>
            </w:r>
          </w:p>
        </w:tc>
      </w:tr>
      <w:tr>
        <w:tc>
          <w:tcPr>
            <w:tcW w:w="2200" w:type="dxa"/>
          </w:tcPr>
          <w:p>
            <w:pPr>
              <w:spacing w:before="40" w:after="40"/>
              <w:jc w:val="left"/>
            </w:pPr>
            <w:r>
              <w:rPr>
                <w:color w:val="334155"/>
                <w:sz w:val="20"/>
              </w:rPr>
              <w:t>Auditability</w:t>
            </w:r>
          </w:p>
        </w:tc>
        <w:tc>
          <w:tcPr>
            <w:tcW w:w="2800" w:type="dxa"/>
          </w:tcPr>
          <w:p>
            <w:pPr>
              <w:spacing w:before="40" w:after="40"/>
              <w:jc w:val="left"/>
            </w:pPr>
            <w:r>
              <w:rPr>
                <w:color w:val="334155"/>
                <w:sz w:val="20"/>
              </w:rPr>
              <w:t>Manual follow-up and scattered records</w:t>
            </w:r>
          </w:p>
        </w:tc>
        <w:tc>
          <w:tcPr>
            <w:tcW w:w="2800" w:type="dxa"/>
          </w:tcPr>
          <w:p>
            <w:pPr>
              <w:spacing w:before="40" w:after="40"/>
              <w:jc w:val="left"/>
            </w:pPr>
            <w:r>
              <w:rPr>
                <w:color w:val="334155"/>
                <w:sz w:val="20"/>
              </w:rPr>
              <w:t>Captured metadata, decisions, corrections, and escalations</w:t>
            </w:r>
          </w:p>
        </w:tc>
        <w:tc>
          <w:tcPr>
            <w:tcW w:w="2200" w:type="dxa"/>
          </w:tcPr>
          <w:p>
            <w:pPr>
              <w:spacing w:before="40" w:after="40"/>
              <w:jc w:val="left"/>
            </w:pPr>
            <w:r>
              <w:rPr>
                <w:color w:val="334155"/>
                <w:sz w:val="20"/>
              </w:rPr>
              <w:t>Better defensibility during audit review</w:t>
            </w:r>
          </w:p>
        </w:tc>
      </w:tr>
    </w:tbl>
    <w:p>
      <w:pPr>
        <w:spacing w:before="80" w:after="160"/>
      </w:pPr>
    </w:p>
    <w:p>
      <w:pPr>
        <w:pStyle w:val="Heading2"/>
      </w:pPr>
      <w:r>
        <w:t>Risk Controls and Governance</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800"/>
        <w:gridCol w:w="7200"/>
      </w:tblGrid>
      <w:tr>
        <w:trPr>
          <w:tblHeader/>
        </w:trPr>
        <w:tc>
          <w:tcPr>
            <w:tcW w:w="2800" w:type="dxa"/>
            <w:shd w:val="clear" w:fill="f1f5f9"/>
          </w:tcPr>
          <w:p>
            <w:pPr>
              <w:spacing w:before="60" w:after="60"/>
              <w:jc w:val="left"/>
            </w:pPr>
            <w:r>
              <w:rPr>
                <w:b/>
                <w:color w:val="0f172a"/>
                <w:sz w:val="20"/>
              </w:rPr>
              <w:t>Control Area</w:t>
            </w:r>
          </w:p>
        </w:tc>
        <w:tc>
          <w:tcPr>
            <w:tcW w:w="7200" w:type="dxa"/>
            <w:shd w:val="clear" w:fill="f1f5f9"/>
          </w:tcPr>
          <w:p>
            <w:pPr>
              <w:spacing w:before="60" w:after="60"/>
              <w:jc w:val="left"/>
            </w:pPr>
            <w:r>
              <w:rPr>
                <w:b/>
                <w:color w:val="0f172a"/>
                <w:sz w:val="20"/>
              </w:rPr>
              <w:t>Governance Design</w:t>
            </w:r>
          </w:p>
        </w:tc>
      </w:tr>
      <w:tr>
        <w:tc>
          <w:tcPr>
            <w:tcW w:w="2800" w:type="dxa"/>
          </w:tcPr>
          <w:p>
            <w:pPr>
              <w:spacing w:before="40" w:after="40"/>
              <w:jc w:val="left"/>
            </w:pPr>
            <w:r>
              <w:rPr>
                <w:color w:val="334155"/>
                <w:sz w:val="20"/>
              </w:rPr>
              <w:t>Human review checkpoints</w:t>
            </w:r>
          </w:p>
        </w:tc>
        <w:tc>
          <w:tcPr>
            <w:tcW w:w="7200" w:type="dxa"/>
          </w:tcPr>
          <w:p>
            <w:pPr>
              <w:spacing w:before="40" w:after="40"/>
              <w:jc w:val="left"/>
            </w:pPr>
            <w:r>
              <w:rPr>
                <w:color w:val="334155"/>
                <w:sz w:val="20"/>
              </w:rPr>
              <w:t>AI classifications are validated by designated reviewers before final acceptance in high-risk or low-confidence cases.</w:t>
            </w:r>
          </w:p>
        </w:tc>
      </w:tr>
      <w:tr>
        <w:tc>
          <w:tcPr>
            <w:tcW w:w="2800" w:type="dxa"/>
          </w:tcPr>
          <w:p>
            <w:pPr>
              <w:spacing w:before="40" w:after="40"/>
              <w:jc w:val="left"/>
            </w:pPr>
            <w:r>
              <w:rPr>
                <w:color w:val="334155"/>
                <w:sz w:val="20"/>
              </w:rPr>
              <w:t>Data validation</w:t>
            </w:r>
          </w:p>
        </w:tc>
        <w:tc>
          <w:tcPr>
            <w:tcW w:w="7200" w:type="dxa"/>
          </w:tcPr>
          <w:p>
            <w:pPr>
              <w:spacing w:before="40" w:after="40"/>
              <w:jc w:val="left"/>
            </w:pPr>
            <w:r>
              <w:rPr>
                <w:color w:val="334155"/>
                <w:sz w:val="20"/>
              </w:rPr>
              <w:t>Required fields, source references, deadlines, and request types are checked at intake.</w:t>
            </w:r>
          </w:p>
        </w:tc>
      </w:tr>
      <w:tr>
        <w:tc>
          <w:tcPr>
            <w:tcW w:w="2800" w:type="dxa"/>
          </w:tcPr>
          <w:p>
            <w:pPr>
              <w:spacing w:before="40" w:after="40"/>
              <w:jc w:val="left"/>
            </w:pPr>
            <w:r>
              <w:rPr>
                <w:color w:val="334155"/>
                <w:sz w:val="20"/>
              </w:rPr>
              <w:t>Compliance safeguards</w:t>
            </w:r>
          </w:p>
        </w:tc>
        <w:tc>
          <w:tcPr>
            <w:tcW w:w="7200" w:type="dxa"/>
          </w:tcPr>
          <w:p>
            <w:pPr>
              <w:spacing w:before="40" w:after="40"/>
              <w:jc w:val="left"/>
            </w:pPr>
            <w:r>
              <w:rPr>
                <w:color w:val="334155"/>
                <w:sz w:val="20"/>
              </w:rPr>
              <w:t>Policy categories and control references are mapped to the routing taxonomy.</w:t>
            </w:r>
          </w:p>
        </w:tc>
      </w:tr>
      <w:tr>
        <w:tc>
          <w:tcPr>
            <w:tcW w:w="2800" w:type="dxa"/>
          </w:tcPr>
          <w:p>
            <w:pPr>
              <w:spacing w:before="40" w:after="40"/>
              <w:jc w:val="left"/>
            </w:pPr>
            <w:r>
              <w:rPr>
                <w:color w:val="334155"/>
                <w:sz w:val="20"/>
              </w:rPr>
              <w:t>Escalation paths</w:t>
            </w:r>
          </w:p>
        </w:tc>
        <w:tc>
          <w:tcPr>
            <w:tcW w:w="7200" w:type="dxa"/>
          </w:tcPr>
          <w:p>
            <w:pPr>
              <w:spacing w:before="40" w:after="40"/>
              <w:jc w:val="left"/>
            </w:pPr>
            <w:r>
              <w:rPr>
                <w:color w:val="334155"/>
                <w:sz w:val="20"/>
              </w:rPr>
              <w:t>Ambiguous, urgent, overdue, or high-risk items are routed to senior review.</w:t>
            </w:r>
          </w:p>
        </w:tc>
      </w:tr>
      <w:tr>
        <w:tc>
          <w:tcPr>
            <w:tcW w:w="2800" w:type="dxa"/>
          </w:tcPr>
          <w:p>
            <w:pPr>
              <w:spacing w:before="40" w:after="40"/>
              <w:jc w:val="left"/>
            </w:pPr>
            <w:r>
              <w:rPr>
                <w:color w:val="334155"/>
                <w:sz w:val="20"/>
              </w:rPr>
              <w:t>Auditability</w:t>
            </w:r>
          </w:p>
        </w:tc>
        <w:tc>
          <w:tcPr>
            <w:tcW w:w="7200" w:type="dxa"/>
          </w:tcPr>
          <w:p>
            <w:pPr>
              <w:spacing w:before="40" w:after="40"/>
              <w:jc w:val="left"/>
            </w:pPr>
            <w:r>
              <w:rPr>
                <w:color w:val="334155"/>
                <w:sz w:val="20"/>
              </w:rPr>
              <w:t>The workflow captures classification, route, reviewer action, correction history, and timestamped decision logs.</w:t>
            </w:r>
          </w:p>
        </w:tc>
      </w:tr>
      <w:tr>
        <w:tc>
          <w:tcPr>
            <w:tcW w:w="2800" w:type="dxa"/>
          </w:tcPr>
          <w:p>
            <w:pPr>
              <w:spacing w:before="40" w:after="40"/>
              <w:jc w:val="left"/>
            </w:pPr>
            <w:r>
              <w:rPr>
                <w:color w:val="334155"/>
                <w:sz w:val="20"/>
              </w:rPr>
              <w:t>Quality assurance</w:t>
            </w:r>
          </w:p>
        </w:tc>
        <w:tc>
          <w:tcPr>
            <w:tcW w:w="7200" w:type="dxa"/>
          </w:tcPr>
          <w:p>
            <w:pPr>
              <w:spacing w:before="40" w:after="40"/>
              <w:jc w:val="left"/>
            </w:pPr>
            <w:r>
              <w:rPr>
                <w:color w:val="334155"/>
                <w:sz w:val="20"/>
              </w:rPr>
              <w:t>Reviewer corrections are analyzed to improve taxonomy quality and routing rules.</w:t>
            </w:r>
          </w:p>
        </w:tc>
      </w:tr>
      <w:tr>
        <w:tc>
          <w:tcPr>
            <w:tcW w:w="2800" w:type="dxa"/>
          </w:tcPr>
          <w:p>
            <w:pPr>
              <w:spacing w:before="40" w:after="40"/>
              <w:jc w:val="left"/>
            </w:pPr>
            <w:r>
              <w:rPr>
                <w:color w:val="334155"/>
                <w:sz w:val="20"/>
              </w:rPr>
              <w:t>Decision ownership</w:t>
            </w:r>
          </w:p>
        </w:tc>
        <w:tc>
          <w:tcPr>
            <w:tcW w:w="7200" w:type="dxa"/>
          </w:tcPr>
          <w:p>
            <w:pPr>
              <w:spacing w:before="40" w:after="40"/>
              <w:jc w:val="left"/>
            </w:pPr>
            <w:r>
              <w:rPr>
                <w:color w:val="334155"/>
                <w:sz w:val="20"/>
              </w:rPr>
              <w:t>AI supports classification and prioritization, but named human owners remain accountable for final decisions.</w:t>
            </w:r>
          </w:p>
        </w:tc>
      </w:tr>
    </w:tbl>
    <w:p>
      <w:pPr>
        <w:spacing w:before="80" w:after="160"/>
      </w:pPr>
    </w:p>
    <w:p>
      <w:pPr>
        <w:pStyle w:val="Heading2"/>
      </w:pPr>
      <w:r>
        <w:t>Metrics and Expected Impact</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600"/>
        <w:gridCol w:w="3200"/>
        <w:gridCol w:w="4200"/>
      </w:tblGrid>
      <w:tr>
        <w:trPr>
          <w:tblHeader/>
        </w:trPr>
        <w:tc>
          <w:tcPr>
            <w:tcW w:w="2600" w:type="dxa"/>
            <w:shd w:val="clear" w:fill="f1f5f9"/>
          </w:tcPr>
          <w:p>
            <w:pPr>
              <w:spacing w:before="60" w:after="60"/>
              <w:jc w:val="left"/>
            </w:pPr>
            <w:r>
              <w:rPr>
                <w:b/>
                <w:color w:val="0f172a"/>
                <w:sz w:val="20"/>
              </w:rPr>
              <w:t>KPI</w:t>
            </w:r>
          </w:p>
        </w:tc>
        <w:tc>
          <w:tcPr>
            <w:tcW w:w="3200" w:type="dxa"/>
            <w:shd w:val="clear" w:fill="f1f5f9"/>
          </w:tcPr>
          <w:p>
            <w:pPr>
              <w:spacing w:before="60" w:after="60"/>
              <w:jc w:val="left"/>
            </w:pPr>
            <w:r>
              <w:rPr>
                <w:b/>
                <w:color w:val="0f172a"/>
                <w:sz w:val="20"/>
              </w:rPr>
              <w:t>Baseline Signal</w:t>
            </w:r>
          </w:p>
        </w:tc>
        <w:tc>
          <w:tcPr>
            <w:tcW w:w="4200" w:type="dxa"/>
            <w:shd w:val="clear" w:fill="f1f5f9"/>
          </w:tcPr>
          <w:p>
            <w:pPr>
              <w:spacing w:before="60" w:after="60"/>
              <w:jc w:val="left"/>
            </w:pPr>
            <w:r>
              <w:rPr>
                <w:b/>
                <w:color w:val="0f172a"/>
                <w:sz w:val="20"/>
              </w:rPr>
              <w:t>Projected Impact</w:t>
            </w:r>
          </w:p>
        </w:tc>
      </w:tr>
      <w:tr>
        <w:tc>
          <w:tcPr>
            <w:tcW w:w="2600" w:type="dxa"/>
          </w:tcPr>
          <w:p>
            <w:pPr>
              <w:spacing w:before="40" w:after="40"/>
              <w:jc w:val="left"/>
            </w:pPr>
            <w:r>
              <w:rPr>
                <w:color w:val="334155"/>
                <w:sz w:val="20"/>
              </w:rPr>
              <w:t>Weekly time saved</w:t>
            </w:r>
          </w:p>
        </w:tc>
        <w:tc>
          <w:tcPr>
            <w:tcW w:w="3200" w:type="dxa"/>
          </w:tcPr>
          <w:p>
            <w:pPr>
              <w:spacing w:before="40" w:after="40"/>
              <w:jc w:val="left"/>
            </w:pPr>
            <w:r>
              <w:rPr>
                <w:color w:val="334155"/>
                <w:sz w:val="20"/>
              </w:rPr>
              <w:t>Manual sorting across hundreds of items</w:t>
            </w:r>
          </w:p>
        </w:tc>
        <w:tc>
          <w:tcPr>
            <w:tcW w:w="4200" w:type="dxa"/>
          </w:tcPr>
          <w:p>
            <w:pPr>
              <w:spacing w:before="40" w:after="40"/>
              <w:jc w:val="left"/>
            </w:pPr>
            <w:r>
              <w:rPr>
                <w:color w:val="334155"/>
                <w:sz w:val="20"/>
              </w:rPr>
              <w:t>20-25 hours saved weekly</w:t>
            </w:r>
          </w:p>
        </w:tc>
      </w:tr>
      <w:tr>
        <w:tc>
          <w:tcPr>
            <w:tcW w:w="2600" w:type="dxa"/>
          </w:tcPr>
          <w:p>
            <w:pPr>
              <w:spacing w:before="40" w:after="40"/>
              <w:jc w:val="left"/>
            </w:pPr>
            <w:r>
              <w:rPr>
                <w:color w:val="334155"/>
                <w:sz w:val="20"/>
              </w:rPr>
              <w:t>Route accuracy</w:t>
            </w:r>
          </w:p>
        </w:tc>
        <w:tc>
          <w:tcPr>
            <w:tcW w:w="3200" w:type="dxa"/>
          </w:tcPr>
          <w:p>
            <w:pPr>
              <w:spacing w:before="40" w:after="40"/>
              <w:jc w:val="left"/>
            </w:pPr>
            <w:r>
              <w:rPr>
                <w:color w:val="334155"/>
                <w:sz w:val="20"/>
              </w:rPr>
              <w:t>Inconsistent manual routing</w:t>
            </w:r>
          </w:p>
        </w:tc>
        <w:tc>
          <w:tcPr>
            <w:tcW w:w="4200" w:type="dxa"/>
          </w:tcPr>
          <w:p>
            <w:pPr>
              <w:spacing w:before="40" w:after="40"/>
              <w:jc w:val="left"/>
            </w:pPr>
            <w:r>
              <w:rPr>
                <w:color w:val="334155"/>
                <w:sz w:val="20"/>
              </w:rPr>
              <w:t>95-97% accurate routing after validation cycles</w:t>
            </w:r>
          </w:p>
        </w:tc>
      </w:tr>
      <w:tr>
        <w:tc>
          <w:tcPr>
            <w:tcW w:w="2600" w:type="dxa"/>
          </w:tcPr>
          <w:p>
            <w:pPr>
              <w:spacing w:before="40" w:after="40"/>
              <w:jc w:val="left"/>
            </w:pPr>
            <w:r>
              <w:rPr>
                <w:color w:val="334155"/>
                <w:sz w:val="20"/>
              </w:rPr>
              <w:t>Misroute rate</w:t>
            </w:r>
          </w:p>
        </w:tc>
        <w:tc>
          <w:tcPr>
            <w:tcW w:w="3200" w:type="dxa"/>
          </w:tcPr>
          <w:p>
            <w:pPr>
              <w:spacing w:before="40" w:after="40"/>
              <w:jc w:val="left"/>
            </w:pPr>
            <w:r>
              <w:rPr>
                <w:color w:val="334155"/>
                <w:sz w:val="20"/>
              </w:rPr>
              <w:t>Rework from incorrect assignment</w:t>
            </w:r>
          </w:p>
        </w:tc>
        <w:tc>
          <w:tcPr>
            <w:tcW w:w="4200" w:type="dxa"/>
          </w:tcPr>
          <w:p>
            <w:pPr>
              <w:spacing w:before="40" w:after="40"/>
              <w:jc w:val="left"/>
            </w:pPr>
            <w:r>
              <w:rPr>
                <w:color w:val="334155"/>
                <w:sz w:val="20"/>
              </w:rPr>
              <w:t>Reduced to below 3%</w:t>
            </w:r>
          </w:p>
        </w:tc>
      </w:tr>
      <w:tr>
        <w:tc>
          <w:tcPr>
            <w:tcW w:w="2600" w:type="dxa"/>
          </w:tcPr>
          <w:p>
            <w:pPr>
              <w:spacing w:before="40" w:after="40"/>
              <w:jc w:val="left"/>
            </w:pPr>
            <w:r>
              <w:rPr>
                <w:color w:val="334155"/>
                <w:sz w:val="20"/>
              </w:rPr>
              <w:t>Intake cycle time</w:t>
            </w:r>
          </w:p>
        </w:tc>
        <w:tc>
          <w:tcPr>
            <w:tcW w:w="3200" w:type="dxa"/>
          </w:tcPr>
          <w:p>
            <w:pPr>
              <w:spacing w:before="40" w:after="40"/>
              <w:jc w:val="left"/>
            </w:pPr>
            <w:r>
              <w:rPr>
                <w:color w:val="334155"/>
                <w:sz w:val="20"/>
              </w:rPr>
              <w:t>Manual queue interpretation</w:t>
            </w:r>
          </w:p>
        </w:tc>
        <w:tc>
          <w:tcPr>
            <w:tcW w:w="4200" w:type="dxa"/>
          </w:tcPr>
          <w:p>
            <w:pPr>
              <w:spacing w:before="40" w:after="40"/>
              <w:jc w:val="left"/>
            </w:pPr>
            <w:r>
              <w:rPr>
                <w:color w:val="334155"/>
                <w:sz w:val="20"/>
              </w:rPr>
              <w:t>50-65% faster intake-to-owner assignment</w:t>
            </w:r>
          </w:p>
        </w:tc>
      </w:tr>
      <w:tr>
        <w:tc>
          <w:tcPr>
            <w:tcW w:w="2600" w:type="dxa"/>
          </w:tcPr>
          <w:p>
            <w:pPr>
              <w:spacing w:before="40" w:after="40"/>
              <w:jc w:val="left"/>
            </w:pPr>
            <w:r>
              <w:rPr>
                <w:color w:val="334155"/>
                <w:sz w:val="20"/>
              </w:rPr>
              <w:t>Queue visibility</w:t>
            </w:r>
          </w:p>
        </w:tc>
        <w:tc>
          <w:tcPr>
            <w:tcW w:w="3200" w:type="dxa"/>
          </w:tcPr>
          <w:p>
            <w:pPr>
              <w:spacing w:before="40" w:after="40"/>
              <w:jc w:val="left"/>
            </w:pPr>
            <w:r>
              <w:rPr>
                <w:color w:val="334155"/>
                <w:sz w:val="20"/>
              </w:rPr>
              <w:t>Limited manager visibility</w:t>
            </w:r>
          </w:p>
        </w:tc>
        <w:tc>
          <w:tcPr>
            <w:tcW w:w="4200" w:type="dxa"/>
          </w:tcPr>
          <w:p>
            <w:pPr>
              <w:spacing w:before="40" w:after="40"/>
              <w:jc w:val="left"/>
            </w:pPr>
            <w:r>
              <w:rPr>
                <w:color w:val="334155"/>
                <w:sz w:val="20"/>
              </w:rPr>
              <w:t>Real-time operational dashboard</w:t>
            </w:r>
          </w:p>
        </w:tc>
      </w:tr>
      <w:tr>
        <w:tc>
          <w:tcPr>
            <w:tcW w:w="2600" w:type="dxa"/>
          </w:tcPr>
          <w:p>
            <w:pPr>
              <w:spacing w:before="40" w:after="40"/>
              <w:jc w:val="left"/>
            </w:pPr>
            <w:r>
              <w:rPr>
                <w:color w:val="334155"/>
                <w:sz w:val="20"/>
              </w:rPr>
              <w:t>Control quality</w:t>
            </w:r>
          </w:p>
        </w:tc>
        <w:tc>
          <w:tcPr>
            <w:tcW w:w="3200" w:type="dxa"/>
          </w:tcPr>
          <w:p>
            <w:pPr>
              <w:spacing w:before="40" w:after="40"/>
              <w:jc w:val="left"/>
            </w:pPr>
            <w:r>
              <w:rPr>
                <w:color w:val="334155"/>
                <w:sz w:val="20"/>
              </w:rPr>
              <w:t>Review-dependent consistency</w:t>
            </w:r>
          </w:p>
        </w:tc>
        <w:tc>
          <w:tcPr>
            <w:tcW w:w="4200" w:type="dxa"/>
          </w:tcPr>
          <w:p>
            <w:pPr>
              <w:spacing w:before="40" w:after="40"/>
              <w:jc w:val="left"/>
            </w:pPr>
            <w:r>
              <w:rPr>
                <w:color w:val="334155"/>
                <w:sz w:val="20"/>
              </w:rPr>
              <w:t>Standardized control checkpoints and audit trail</w:t>
            </w:r>
          </w:p>
        </w:tc>
      </w:tr>
    </w:tbl>
    <w:p>
      <w:pPr>
        <w:spacing w:before="80" w:after="160"/>
      </w:pPr>
    </w:p>
    <w:p>
      <w:pPr>
        <w:pStyle w:val="Heading2"/>
      </w:pPr>
      <w:r>
        <w:t>Deliverables</w:t>
      </w:r>
    </w:p>
    <w:p>
      <w:pPr>
        <w:ind w:left="720"/>
      </w:pPr>
      <w:r>
        <w:t>• AI-assisted audit intake operating model</w:t>
      </w:r>
    </w:p>
    <w:p>
      <w:pPr>
        <w:ind w:left="720"/>
      </w:pPr>
      <w:r>
        <w:t>• Request taxonomy and routing logic</w:t>
      </w:r>
    </w:p>
    <w:p>
      <w:pPr>
        <w:ind w:left="720"/>
      </w:pPr>
      <w:r>
        <w:t>• Workflow map from intake to review</w:t>
      </w:r>
    </w:p>
    <w:p>
      <w:pPr>
        <w:ind w:left="720"/>
      </w:pPr>
      <w:r>
        <w:t>• UX/UI dashboard structure</w:t>
      </w:r>
    </w:p>
    <w:p>
      <w:pPr>
        <w:ind w:left="720"/>
      </w:pPr>
      <w:r>
        <w:t>• Risk control and governance matrix</w:t>
      </w:r>
    </w:p>
    <w:p>
      <w:pPr>
        <w:ind w:left="720"/>
      </w:pPr>
      <w:r>
        <w:t>• Before/after operating model comparison</w:t>
      </w:r>
    </w:p>
    <w:p>
      <w:pPr>
        <w:ind w:left="720"/>
      </w:pPr>
      <w:r>
        <w:t>• KPI framework for routing health and control quality</w:t>
      </w:r>
    </w:p>
    <w:p>
      <w:pPr>
        <w:ind w:left="720"/>
      </w:pPr>
      <w:r>
        <w:t>• Implementation roadmap</w:t>
      </w:r>
    </w:p>
    <w:p>
      <w:pPr>
        <w:ind w:left="720"/>
      </w:pPr>
      <w:r>
        <w:t>• Client-ready executive presentation narrative</w:t>
      </w:r>
    </w:p>
    <w:p>
      <w:pPr>
        <w:pStyle w:val="Heading2"/>
      </w:pPr>
      <w:r>
        <w:t>Tools and Methods</w:t>
      </w:r>
    </w:p>
    <w:p>
      <w:r>
        <w:t>Figma for dashboard and workflow interface structure; Miro for service blueprinting and process mapping; Excel for queue analysis, routing metrics, and KPI modeling; PowerPoint for executive communication; Notion for project documentation and decision logs; ChatGPT or AI-assisted research for taxonomy drafting and workflow pattern exploration; stakeholder interviews with audit, legal, finance, operations, and controls teams; heuristic analysis of workflow clarity and governance risk; risk matrix design for escalation rules.</w:t>
      </w:r>
    </w:p>
    <w:p>
      <w:pPr>
        <w:pStyle w:val="Heading2"/>
      </w:pPr>
      <w:r>
        <w:t>Implementation Roadmap</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1600"/>
        <w:gridCol w:w="2200"/>
        <w:gridCol w:w="2400"/>
        <w:gridCol w:w="2200"/>
        <w:gridCol w:w="1600"/>
      </w:tblGrid>
      <w:tr>
        <w:trPr>
          <w:tblHeader/>
        </w:trPr>
        <w:tc>
          <w:tcPr>
            <w:tcW w:w="1600" w:type="dxa"/>
            <w:shd w:val="clear" w:fill="f1f5f9"/>
          </w:tcPr>
          <w:p>
            <w:pPr>
              <w:spacing w:before="60" w:after="60"/>
              <w:jc w:val="left"/>
            </w:pPr>
            <w:r>
              <w:rPr>
                <w:b/>
                <w:color w:val="0f172a"/>
                <w:sz w:val="20"/>
              </w:rPr>
              <w:t>Phase</w:t>
            </w:r>
          </w:p>
        </w:tc>
        <w:tc>
          <w:tcPr>
            <w:tcW w:w="2200" w:type="dxa"/>
            <w:shd w:val="clear" w:fill="f1f5f9"/>
          </w:tcPr>
          <w:p>
            <w:pPr>
              <w:spacing w:before="60" w:after="60"/>
              <w:jc w:val="left"/>
            </w:pPr>
            <w:r>
              <w:rPr>
                <w:b/>
                <w:color w:val="0f172a"/>
                <w:sz w:val="20"/>
              </w:rPr>
              <w:t>Objective</w:t>
            </w:r>
          </w:p>
        </w:tc>
        <w:tc>
          <w:tcPr>
            <w:tcW w:w="2400" w:type="dxa"/>
            <w:shd w:val="clear" w:fill="f1f5f9"/>
          </w:tcPr>
          <w:p>
            <w:pPr>
              <w:spacing w:before="60" w:after="60"/>
              <w:jc w:val="left"/>
            </w:pPr>
            <w:r>
              <w:rPr>
                <w:b/>
                <w:color w:val="0f172a"/>
                <w:sz w:val="20"/>
              </w:rPr>
              <w:t>Key Activities</w:t>
            </w:r>
          </w:p>
        </w:tc>
        <w:tc>
          <w:tcPr>
            <w:tcW w:w="2200" w:type="dxa"/>
            <w:shd w:val="clear" w:fill="f1f5f9"/>
          </w:tcPr>
          <w:p>
            <w:pPr>
              <w:spacing w:before="60" w:after="60"/>
              <w:jc w:val="left"/>
            </w:pPr>
            <w:r>
              <w:rPr>
                <w:b/>
                <w:color w:val="0f172a"/>
                <w:sz w:val="20"/>
              </w:rPr>
              <w:t>Deliverables</w:t>
            </w:r>
          </w:p>
        </w:tc>
        <w:tc>
          <w:tcPr>
            <w:tcW w:w="1600" w:type="dxa"/>
            <w:shd w:val="clear" w:fill="f1f5f9"/>
          </w:tcPr>
          <w:p>
            <w:pPr>
              <w:spacing w:before="60" w:after="60"/>
              <w:jc w:val="left"/>
            </w:pPr>
            <w:r>
              <w:rPr>
                <w:b/>
                <w:color w:val="0f172a"/>
                <w:sz w:val="20"/>
              </w:rPr>
              <w:t>Timeline</w:t>
            </w:r>
          </w:p>
        </w:tc>
      </w:tr>
      <w:tr>
        <w:tc>
          <w:tcPr>
            <w:tcW w:w="1600" w:type="dxa"/>
          </w:tcPr>
          <w:p>
            <w:pPr>
              <w:spacing w:before="40" w:after="40"/>
              <w:jc w:val="left"/>
            </w:pPr>
            <w:r>
              <w:rPr>
                <w:color w:val="334155"/>
                <w:sz w:val="20"/>
              </w:rPr>
              <w:t>1. Discovery</w:t>
            </w:r>
          </w:p>
        </w:tc>
        <w:tc>
          <w:tcPr>
            <w:tcW w:w="2200" w:type="dxa"/>
          </w:tcPr>
          <w:p>
            <w:pPr>
              <w:spacing w:before="40" w:after="40"/>
              <w:jc w:val="left"/>
            </w:pPr>
            <w:r>
              <w:rPr>
                <w:color w:val="334155"/>
                <w:sz w:val="20"/>
              </w:rPr>
              <w:t>Understand current intake burden and control requirements</w:t>
            </w:r>
          </w:p>
        </w:tc>
        <w:tc>
          <w:tcPr>
            <w:tcW w:w="2400" w:type="dxa"/>
          </w:tcPr>
          <w:p>
            <w:pPr>
              <w:spacing w:before="40" w:after="40"/>
              <w:jc w:val="left"/>
            </w:pPr>
            <w:r>
              <w:rPr>
                <w:color w:val="334155"/>
                <w:sz w:val="20"/>
              </w:rPr>
              <w:t>Map channels, request types, queue volume, owner groups, and pain points</w:t>
            </w:r>
          </w:p>
        </w:tc>
        <w:tc>
          <w:tcPr>
            <w:tcW w:w="2200" w:type="dxa"/>
          </w:tcPr>
          <w:p>
            <w:pPr>
              <w:spacing w:before="40" w:after="40"/>
              <w:jc w:val="left"/>
            </w:pPr>
            <w:r>
              <w:rPr>
                <w:color w:val="334155"/>
                <w:sz w:val="20"/>
              </w:rPr>
              <w:t>Current-state workflow and baseline metrics</w:t>
            </w:r>
          </w:p>
        </w:tc>
        <w:tc>
          <w:tcPr>
            <w:tcW w:w="1600" w:type="dxa"/>
          </w:tcPr>
          <w:p>
            <w:pPr>
              <w:spacing w:before="40" w:after="40"/>
              <w:jc w:val="left"/>
            </w:pPr>
            <w:r>
              <w:rPr>
                <w:color w:val="334155"/>
                <w:sz w:val="20"/>
              </w:rPr>
              <w:t>1-2 weeks</w:t>
            </w:r>
          </w:p>
        </w:tc>
      </w:tr>
      <w:tr>
        <w:tc>
          <w:tcPr>
            <w:tcW w:w="1600" w:type="dxa"/>
          </w:tcPr>
          <w:p>
            <w:pPr>
              <w:spacing w:before="40" w:after="40"/>
              <w:jc w:val="left"/>
            </w:pPr>
            <w:r>
              <w:rPr>
                <w:color w:val="334155"/>
                <w:sz w:val="20"/>
              </w:rPr>
              <w:t>2. Taxonomy Design</w:t>
            </w:r>
          </w:p>
        </w:tc>
        <w:tc>
          <w:tcPr>
            <w:tcW w:w="2200" w:type="dxa"/>
          </w:tcPr>
          <w:p>
            <w:pPr>
              <w:spacing w:before="40" w:after="40"/>
              <w:jc w:val="left"/>
            </w:pPr>
            <w:r>
              <w:rPr>
                <w:color w:val="334155"/>
                <w:sz w:val="20"/>
              </w:rPr>
              <w:t>Define structured classification and assignment logic</w:t>
            </w:r>
          </w:p>
        </w:tc>
        <w:tc>
          <w:tcPr>
            <w:tcW w:w="2400" w:type="dxa"/>
          </w:tcPr>
          <w:p>
            <w:pPr>
              <w:spacing w:before="40" w:after="40"/>
              <w:jc w:val="left"/>
            </w:pPr>
            <w:r>
              <w:rPr>
                <w:color w:val="334155"/>
                <w:sz w:val="20"/>
              </w:rPr>
              <w:t>Build request taxonomy, risk tiers, ownership map, and escalation rules</w:t>
            </w:r>
          </w:p>
        </w:tc>
        <w:tc>
          <w:tcPr>
            <w:tcW w:w="2200" w:type="dxa"/>
          </w:tcPr>
          <w:p>
            <w:pPr>
              <w:spacing w:before="40" w:after="40"/>
              <w:jc w:val="left"/>
            </w:pPr>
            <w:r>
              <w:rPr>
                <w:color w:val="334155"/>
                <w:sz w:val="20"/>
              </w:rPr>
              <w:t>Routing framework and control matrix</w:t>
            </w:r>
          </w:p>
        </w:tc>
        <w:tc>
          <w:tcPr>
            <w:tcW w:w="1600" w:type="dxa"/>
          </w:tcPr>
          <w:p>
            <w:pPr>
              <w:spacing w:before="40" w:after="40"/>
              <w:jc w:val="left"/>
            </w:pPr>
            <w:r>
              <w:rPr>
                <w:color w:val="334155"/>
                <w:sz w:val="20"/>
              </w:rPr>
              <w:t>2 weeks</w:t>
            </w:r>
          </w:p>
        </w:tc>
      </w:tr>
      <w:tr>
        <w:tc>
          <w:tcPr>
            <w:tcW w:w="1600" w:type="dxa"/>
          </w:tcPr>
          <w:p>
            <w:pPr>
              <w:spacing w:before="40" w:after="40"/>
              <w:jc w:val="left"/>
            </w:pPr>
            <w:r>
              <w:rPr>
                <w:color w:val="334155"/>
                <w:sz w:val="20"/>
              </w:rPr>
              <w:t>3. Prototype</w:t>
            </w:r>
          </w:p>
        </w:tc>
        <w:tc>
          <w:tcPr>
            <w:tcW w:w="2200" w:type="dxa"/>
          </w:tcPr>
          <w:p>
            <w:pPr>
              <w:spacing w:before="40" w:after="40"/>
              <w:jc w:val="left"/>
            </w:pPr>
            <w:r>
              <w:rPr>
                <w:color w:val="334155"/>
                <w:sz w:val="20"/>
              </w:rPr>
              <w:t>Test AI-assisted classification against historical intake samples</w:t>
            </w:r>
          </w:p>
        </w:tc>
        <w:tc>
          <w:tcPr>
            <w:tcW w:w="2400" w:type="dxa"/>
          </w:tcPr>
          <w:p>
            <w:pPr>
              <w:spacing w:before="40" w:after="40"/>
              <w:jc w:val="left"/>
            </w:pPr>
            <w:r>
              <w:rPr>
                <w:color w:val="334155"/>
                <w:sz w:val="20"/>
              </w:rPr>
              <w:t>Validate accuracy, reviewer corrections, exception patterns, and dashboard needs</w:t>
            </w:r>
          </w:p>
        </w:tc>
        <w:tc>
          <w:tcPr>
            <w:tcW w:w="2200" w:type="dxa"/>
          </w:tcPr>
          <w:p>
            <w:pPr>
              <w:spacing w:before="40" w:after="40"/>
              <w:jc w:val="left"/>
            </w:pPr>
            <w:r>
              <w:rPr>
                <w:color w:val="334155"/>
                <w:sz w:val="20"/>
              </w:rPr>
              <w:t>Prototype workflow and validation report</w:t>
            </w:r>
          </w:p>
        </w:tc>
        <w:tc>
          <w:tcPr>
            <w:tcW w:w="1600" w:type="dxa"/>
          </w:tcPr>
          <w:p>
            <w:pPr>
              <w:spacing w:before="40" w:after="40"/>
              <w:jc w:val="left"/>
            </w:pPr>
            <w:r>
              <w:rPr>
                <w:color w:val="334155"/>
                <w:sz w:val="20"/>
              </w:rPr>
              <w:t>2-3 weeks</w:t>
            </w:r>
          </w:p>
        </w:tc>
      </w:tr>
      <w:tr>
        <w:tc>
          <w:tcPr>
            <w:tcW w:w="1600" w:type="dxa"/>
          </w:tcPr>
          <w:p>
            <w:pPr>
              <w:spacing w:before="40" w:after="40"/>
              <w:jc w:val="left"/>
            </w:pPr>
            <w:r>
              <w:rPr>
                <w:color w:val="334155"/>
                <w:sz w:val="20"/>
              </w:rPr>
              <w:t>4. Pilot</w:t>
            </w:r>
          </w:p>
        </w:tc>
        <w:tc>
          <w:tcPr>
            <w:tcW w:w="2200" w:type="dxa"/>
          </w:tcPr>
          <w:p>
            <w:pPr>
              <w:spacing w:before="40" w:after="40"/>
              <w:jc w:val="left"/>
            </w:pPr>
            <w:r>
              <w:rPr>
                <w:color w:val="334155"/>
                <w:sz w:val="20"/>
              </w:rPr>
              <w:t>Run controlled pilot with selected teams</w:t>
            </w:r>
          </w:p>
        </w:tc>
        <w:tc>
          <w:tcPr>
            <w:tcW w:w="2400" w:type="dxa"/>
          </w:tcPr>
          <w:p>
            <w:pPr>
              <w:spacing w:before="40" w:after="40"/>
              <w:jc w:val="left"/>
            </w:pPr>
            <w:r>
              <w:rPr>
                <w:color w:val="334155"/>
                <w:sz w:val="20"/>
              </w:rPr>
              <w:t>Launch intake workflow, monitor route quality, and capture reviewer feedback</w:t>
            </w:r>
          </w:p>
        </w:tc>
        <w:tc>
          <w:tcPr>
            <w:tcW w:w="2200" w:type="dxa"/>
          </w:tcPr>
          <w:p>
            <w:pPr>
              <w:spacing w:before="40" w:after="40"/>
              <w:jc w:val="left"/>
            </w:pPr>
            <w:r>
              <w:rPr>
                <w:color w:val="334155"/>
                <w:sz w:val="20"/>
              </w:rPr>
              <w:t>Pilot dashboard and refinement backlog</w:t>
            </w:r>
          </w:p>
        </w:tc>
        <w:tc>
          <w:tcPr>
            <w:tcW w:w="1600" w:type="dxa"/>
          </w:tcPr>
          <w:p>
            <w:pPr>
              <w:spacing w:before="40" w:after="40"/>
              <w:jc w:val="left"/>
            </w:pPr>
            <w:r>
              <w:rPr>
                <w:color w:val="334155"/>
                <w:sz w:val="20"/>
              </w:rPr>
              <w:t>4 weeks</w:t>
            </w:r>
          </w:p>
        </w:tc>
      </w:tr>
      <w:tr>
        <w:tc>
          <w:tcPr>
            <w:tcW w:w="1600" w:type="dxa"/>
          </w:tcPr>
          <w:p>
            <w:pPr>
              <w:spacing w:before="40" w:after="40"/>
              <w:jc w:val="left"/>
            </w:pPr>
            <w:r>
              <w:rPr>
                <w:color w:val="334155"/>
                <w:sz w:val="20"/>
              </w:rPr>
              <w:t>5. Scale</w:t>
            </w:r>
          </w:p>
        </w:tc>
        <w:tc>
          <w:tcPr>
            <w:tcW w:w="2200" w:type="dxa"/>
          </w:tcPr>
          <w:p>
            <w:pPr>
              <w:spacing w:before="40" w:after="40"/>
              <w:jc w:val="left"/>
            </w:pPr>
            <w:r>
              <w:rPr>
                <w:color w:val="334155"/>
                <w:sz w:val="20"/>
              </w:rPr>
              <w:t>Extend workflow and establish continuous improvement</w:t>
            </w:r>
          </w:p>
        </w:tc>
        <w:tc>
          <w:tcPr>
            <w:tcW w:w="2400" w:type="dxa"/>
          </w:tcPr>
          <w:p>
            <w:pPr>
              <w:spacing w:before="40" w:after="40"/>
              <w:jc w:val="left"/>
            </w:pPr>
            <w:r>
              <w:rPr>
                <w:color w:val="334155"/>
                <w:sz w:val="20"/>
              </w:rPr>
              <w:t>Expand categories, formalize QA cadence, and integrate management reporting</w:t>
            </w:r>
          </w:p>
        </w:tc>
        <w:tc>
          <w:tcPr>
            <w:tcW w:w="2200" w:type="dxa"/>
          </w:tcPr>
          <w:p>
            <w:pPr>
              <w:spacing w:before="40" w:after="40"/>
              <w:jc w:val="left"/>
            </w:pPr>
            <w:r>
              <w:rPr>
                <w:color w:val="334155"/>
                <w:sz w:val="20"/>
              </w:rPr>
              <w:t>Operating model playbook and KPI dashboard</w:t>
            </w:r>
          </w:p>
        </w:tc>
        <w:tc>
          <w:tcPr>
            <w:tcW w:w="1600" w:type="dxa"/>
          </w:tcPr>
          <w:p>
            <w:pPr>
              <w:spacing w:before="40" w:after="40"/>
              <w:jc w:val="left"/>
            </w:pPr>
            <w:r>
              <w:rPr>
                <w:color w:val="334155"/>
                <w:sz w:val="20"/>
              </w:rPr>
              <w:t>4-6 weeks</w:t>
            </w:r>
          </w:p>
        </w:tc>
      </w:tr>
    </w:tbl>
    <w:p>
      <w:pPr>
        <w:spacing w:before="80" w:after="160"/>
      </w:pPr>
    </w:p>
    <w:p>
      <w:pPr>
        <w:pStyle w:val="Heading2"/>
      </w:pPr>
      <w:r>
        <w:t>Portfolio Narrative</w:t>
      </w:r>
    </w:p>
    <w:p>
      <w:r>
        <w:t>This project demonstrates the ability to convert operational complexity into a clear, governed, and commercially useful AI workflow. The strength of the work is not merely that AI was introduced; it is that AI was designed around control requirements, ownership, and measurable operating performance.</w:t>
      </w:r>
    </w:p>
    <w:p>
      <w:r>
        <w:t>The case shows strategic thinking, UX/UI clarity, regulatory sensitivity, and practical process redesign. It translates a messy intake problem into a visible operating model that improves speed without weakening audit discipline. For clients, the message is direct: automation can create leverage in regulated environments when it is designed with governance from the start.</w:t>
      </w:r>
    </w:p>
    <w:p>
      <w:pPr>
        <w:pStyle w:val="Heading2"/>
      </w:pPr>
      <w:r>
        <w:t>Final Conclusion</w:t>
      </w:r>
    </w:p>
    <w:p>
      <w:r>
        <w:t>AI Routing for Audit Intake Control presents a credible model for applying automation inside regulated operations. It reduces manual burden, strengthens visibility, preserves expert judgment, and creates measurable control evidence. The project is a strong portfolio example because it connects AI workflow design with the commercial realities of financial-services governance: faster work, clearer ownership, fewer errors, and stronger operational trust.</w:t>
      </w:r>
    </w:p>
    <w:p>
      <w:pPr>
        <w:pageBreakBefore/>
      </w:pPr>
    </w:p>
    <w:p>
      <w:pPr>
        <w:pStyle w:val="Heading1"/>
      </w:pPr>
      <w:r>
        <w:t>Project 2: B2B SaaS Pricing Architecture</w:t>
      </w:r>
      <w:bookmarkStart w:name="_P2" w:id="2"/>
      <w:bookmarkEnd w:id="2"/>
    </w:p>
    <w:p>
      <w:r>
        <w:rPr>
          <w:b/>
        </w:rPr>
        <w:t>Strategic Subtitle: </w:t>
      </w:r>
      <w:r>
        <w:t>Turning product value into segmentation, packaging, and revenue logic</w:t>
      </w:r>
    </w:p>
    <w:p>
      <w:r>
        <w:rPr>
          <w:b/>
        </w:rPr>
        <w:t>Commercial Promise: </w:t>
      </w:r>
      <w:r>
        <w:t>A pricing system that aligns customer maturity, willingness to pay, product capability, and expansion revenue.</w:t>
      </w:r>
    </w:p>
    <w:p>
      <w:r>
        <w:rPr>
          <w:b/>
        </w:rPr>
        <w:t>Category: </w:t>
      </w:r>
      <w:r>
        <w:t>Pricing Strategy, B2B SaaS Monetization, Commercial UX, Market Research</w:t>
      </w:r>
    </w:p>
    <w:p>
      <w:r>
        <w:rPr>
          <w:b/>
        </w:rPr>
        <w:t>Context: </w:t>
      </w:r>
      <w:r>
        <w:t>B2B SaaS company with a 300-400 customer base, flat pricing structure, and underdeveloped expansion path.</w:t>
      </w:r>
    </w:p>
    <w:p>
      <w:pPr>
        <w:pStyle w:val="Heading2"/>
      </w:pPr>
      <w:r>
        <w:t>Executive Summary</w:t>
      </w:r>
    </w:p>
    <w:p>
      <w:r>
        <w:t>This project redesigned a B2B SaaS pricing model from a one-size-fits-all monthly plan into a segmented three-tier pricing architecture. The work addressed a structural monetization problem: customers with different needs, maturity levels, and value perception were being forced into the same price story.</w:t>
      </w:r>
    </w:p>
    <w:p>
      <w:r>
        <w:t>The solution connected value drivers, customer maturity, feature packaging, tier fences, and ARPU progression into a clear commercial system. Instead of treating pricing as a number, the project treated pricing as an architecture: a structured way to capture value from different customer segments while making progression logical and transparent.</w:t>
      </w:r>
    </w:p>
    <w:p>
      <w:r>
        <w:t>The value created was both strategic and operational. The new architecture created clearer buying logic, improved upgrade paths, supported revenue expansion, and gave the business a testable pricing roadmap.</w:t>
      </w:r>
    </w:p>
    <w:p>
      <w:pPr>
        <w:pStyle w:val="Heading2"/>
      </w:pPr>
      <w:r>
        <w:t>Project Context</w:t>
      </w:r>
    </w:p>
    <w:p>
      <w:r>
        <w:t>The client environment was a growing B2B SaaS company serving small practices, growing teams, and larger operations through a single flat plan. The product had matured, but pricing had not evolved with customer complexity.</w:t>
      </w:r>
    </w:p>
    <w:p>
      <w:r>
        <w:t>Pain points included: small customers felt they were paying for features they did not fully use; growing teams lacked advanced capabilities needed for scale; larger operations had no clear enterprise pathway, volume logic, or strategic partnership structure; the existing pricing page did not communicate customer fit or upgrade rationale; expansion revenue was constrained because the product had no commercial ladder.</w:t>
      </w:r>
    </w:p>
    <w:p>
      <w:pPr>
        <w:pStyle w:val="Heading2"/>
      </w:pPr>
      <w:r>
        <w:t>Problem Statement</w:t>
      </w:r>
    </w:p>
    <w:p>
      <w:r>
        <w:t>The core problem was not the price point itself. The problem was segmentation. A single plan forced unlike customers into the same value package, creating mismatch across three groups: small customers perceived the plan as expensive relative to their usage; growing teams were underserved by missing capabilities and limits; larger operations were undervalued because there was no enterprise-grade tier, volume logic, or partnership path.</w:t>
      </w:r>
    </w:p>
    <w:p>
      <w:r>
        <w:t>The consequence was a pricing model that suppressed growth. Customers could not easily understand which package matched their maturity, and the business had no structured way to convert operational impact, risk reduction, scalability, and growth enablement into revenue.</w:t>
      </w:r>
    </w:p>
    <w:p>
      <w:pPr>
        <w:pStyle w:val="Heading2"/>
      </w:pPr>
      <w:r>
        <w:t>Project Goals</w:t>
      </w:r>
    </w:p>
    <w:p>
      <w:pPr>
        <w:ind w:left="720"/>
      </w:pPr>
      <w:r>
        <w:t>• Create a segmented pricing system: Define clear customer groups and match each to a relevant value story.</w:t>
      </w:r>
    </w:p>
    <w:p>
      <w:pPr>
        <w:ind w:left="720"/>
      </w:pPr>
      <w:r>
        <w:t>• Improve willingness-to-pay alignment: Link price tiers to operational impact, risk reduction, growth enablement, and scalability.</w:t>
      </w:r>
    </w:p>
    <w:p>
      <w:pPr>
        <w:ind w:left="720"/>
      </w:pPr>
      <w:r>
        <w:t>• Build an upgrade ladder: Make customer progression from starter to growth to enterprise obvious and commercially credible.</w:t>
      </w:r>
    </w:p>
    <w:p>
      <w:pPr>
        <w:ind w:left="720"/>
      </w:pPr>
      <w:r>
        <w:t>• Reduce churn risk: Avoid forcing early-stage customers into an oversized plan.</w:t>
      </w:r>
    </w:p>
    <w:p>
      <w:pPr>
        <w:ind w:left="720"/>
      </w:pPr>
      <w:r>
        <w:t>• Capture expansion revenue: Give larger customers a reason to pay for advanced capabilities, support, integrations, and governance.</w:t>
      </w:r>
    </w:p>
    <w:p>
      <w:pPr>
        <w:ind w:left="720"/>
      </w:pPr>
      <w:r>
        <w:t>• Improve pricing communication: Structure the pricing page around buyer logic, not only feature lists.</w:t>
      </w:r>
    </w:p>
    <w:p>
      <w:pPr>
        <w:ind w:left="720"/>
      </w:pPr>
      <w:r>
        <w:t>• Create a test plan: Validate packages, price points, conversion behavior, and ARPU impact before full rollout.</w:t>
      </w:r>
    </w:p>
    <w:p>
      <w:pPr>
        <w:pStyle w:val="Heading2"/>
      </w:pPr>
      <w:r>
        <w:t>Strategic Approach</w:t>
      </w:r>
    </w:p>
    <w:p>
      <w:r>
        <w:t>The methodology combined market research, customer segmentation, packaging strategy, and pricing UX:</w:t>
      </w:r>
    </w:p>
    <w:p>
      <w:pPr>
        <w:ind w:left="720"/>
      </w:pPr>
      <w:r>
        <w:t>1. Discovery: Reviewed current customer base, usage patterns, support needs, product capabilities, and commercial performance.</w:t>
      </w:r>
    </w:p>
    <w:p>
      <w:pPr>
        <w:ind w:left="720"/>
      </w:pPr>
      <w:r>
        <w:t>2. Stakeholder analysis: Considered buyer, end-user, sales, customer success, finance, and product perspectives.</w:t>
      </w:r>
    </w:p>
    <w:p>
      <w:pPr>
        <w:ind w:left="720"/>
      </w:pPr>
      <w:r>
        <w:t>3. Workflow mapping: Mapped how customers evaluate value, adopt capabilities, expand teams, and require additional support.</w:t>
      </w:r>
    </w:p>
    <w:p>
      <w:pPr>
        <w:ind w:left="720"/>
      </w:pPr>
      <w:r>
        <w:t>4. Pain point identification: Identified overpaying, underserved, and undervalued customer segments.</w:t>
      </w:r>
    </w:p>
    <w:p>
      <w:pPr>
        <w:ind w:left="720"/>
      </w:pPr>
      <w:r>
        <w:t>5. UX/UI structuring: Designed tier cards and pricing hierarchy to help buyers self-identify.</w:t>
      </w:r>
    </w:p>
    <w:p>
      <w:pPr>
        <w:ind w:left="720"/>
      </w:pPr>
      <w:r>
        <w:t>6. Risk control definition: Built test logic to monitor churn, conversion, support load, upgrade behavior, and margin impact.</w:t>
      </w:r>
    </w:p>
    <w:p>
      <w:pPr>
        <w:ind w:left="720"/>
      </w:pPr>
      <w:r>
        <w:t>7. Solution framing: Reframed pricing from a static plan into a segmentation system.</w:t>
      </w:r>
    </w:p>
    <w:p>
      <w:pPr>
        <w:ind w:left="720"/>
      </w:pPr>
      <w:r>
        <w:t>8. Validation logic: Defined experiments for price sensitivity, packaging clarity, upgrade conversion, and ARPU uplift.</w:t>
      </w:r>
    </w:p>
    <w:p>
      <w:pPr>
        <w:pStyle w:val="Heading2"/>
      </w:pPr>
      <w:r>
        <w:t>Solution Overview</w:t>
      </w:r>
    </w:p>
    <w:p>
      <w:r>
        <w:t>The solution was a three-tier B2B SaaS pricing architecture:</w:t>
      </w:r>
    </w:p>
    <w:p>
      <w:pPr>
        <w:ind w:left="720"/>
      </w:pPr>
      <w:r>
        <w:t>• Starter at $49/user/month: Designed for early-stage explorers that need essential capabilities, standard support, limited users, and basic integrations.</w:t>
      </w:r>
    </w:p>
    <w:p>
      <w:pPr>
        <w:ind w:left="720"/>
      </w:pPr>
      <w:r>
        <w:t>• Growth at $149/user/month: Designed for growing teams that need advanced capabilities, higher user limits, priority support, and advanced integrations.</w:t>
      </w:r>
    </w:p>
    <w:p>
      <w:pPr>
        <w:ind w:left="720"/>
      </w:pPr>
      <w:r>
        <w:t>• Enterprise at $399/user/month: Designed for larger operations that need unlimited users, SLA and security, dedicated support, custom integrations, and advanced analytics.</w:t>
      </w:r>
    </w:p>
    <w:p>
      <w:r>
        <w:t>The architecture linked each tier to a customer maturity stage and a value narrative: Starter reduces adoption friction; Growth supports operational scaling; Enterprise captures strategic value, governance needs, and high-impact use cases.</w:t>
      </w:r>
    </w:p>
    <w:p>
      <w:pPr>
        <w:pStyle w:val="Heading2"/>
      </w:pPr>
      <w:r>
        <w:t>UX/UI and Design Decisions</w:t>
      </w:r>
    </w:p>
    <w:p>
      <w:r>
        <w:t>The visual system used a dark navy interface with cyan and green accents to create an executive, analytical feel. Pricing was presented as a decision architecture rather than a promotional table.</w:t>
      </w:r>
    </w:p>
    <w:p>
      <w:r>
        <w:t>Key UX/UI decisions: Information architecture organized the page around value drivers, tiers, ARPU progression, and customer segments; visual hierarchy placed price points and segment labels prominently, with features supporting the buying decision; segmentation clarity used distinct cards for early stage, growing teams, and enterprise buyers; upgrade logic showed the price ladder as a progression, not as isolated packages; trust-building included operational impact, risk reduction, scalability, and growth enablement as value anchors; decision support helped buyers identify the right package based on maturity, use case, and operating complexity.</w:t>
      </w:r>
    </w:p>
    <w:p>
      <w:pPr>
        <w:pStyle w:val="Heading2"/>
      </w:pPr>
      <w:r>
        <w:t>Workflow or Operating Model</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000"/>
        <w:gridCol w:w="2200"/>
        <w:gridCol w:w="2400"/>
        <w:gridCol w:w="2000"/>
        <w:gridCol w:w="1400"/>
      </w:tblGrid>
      <w:tr>
        <w:trPr>
          <w:tblHeader/>
        </w:trPr>
        <w:tc>
          <w:tcPr>
            <w:tcW w:w="2000" w:type="dxa"/>
            <w:shd w:val="clear" w:fill="f1f5f9"/>
          </w:tcPr>
          <w:p>
            <w:pPr>
              <w:spacing w:before="60" w:after="60"/>
              <w:jc w:val="left"/>
            </w:pPr>
            <w:r>
              <w:rPr>
                <w:b/>
                <w:color w:val="0f172a"/>
                <w:sz w:val="20"/>
              </w:rPr>
              <w:t>Process Step</w:t>
            </w:r>
          </w:p>
        </w:tc>
        <w:tc>
          <w:tcPr>
            <w:tcW w:w="2200" w:type="dxa"/>
            <w:shd w:val="clear" w:fill="f1f5f9"/>
          </w:tcPr>
          <w:p>
            <w:pPr>
              <w:spacing w:before="60" w:after="60"/>
              <w:jc w:val="left"/>
            </w:pPr>
            <w:r>
              <w:rPr>
                <w:b/>
                <w:color w:val="0f172a"/>
                <w:sz w:val="20"/>
              </w:rPr>
              <w:t>Input</w:t>
            </w:r>
          </w:p>
        </w:tc>
        <w:tc>
          <w:tcPr>
            <w:tcW w:w="2400" w:type="dxa"/>
            <w:shd w:val="clear" w:fill="f1f5f9"/>
          </w:tcPr>
          <w:p>
            <w:pPr>
              <w:spacing w:before="60" w:after="60"/>
              <w:jc w:val="left"/>
            </w:pPr>
            <w:r>
              <w:rPr>
                <w:b/>
                <w:color w:val="0f172a"/>
                <w:sz w:val="20"/>
              </w:rPr>
              <w:t>Decision Logic</w:t>
            </w:r>
          </w:p>
        </w:tc>
        <w:tc>
          <w:tcPr>
            <w:tcW w:w="2000" w:type="dxa"/>
            <w:shd w:val="clear" w:fill="f1f5f9"/>
          </w:tcPr>
          <w:p>
            <w:pPr>
              <w:spacing w:before="60" w:after="60"/>
              <w:jc w:val="left"/>
            </w:pPr>
            <w:r>
              <w:rPr>
                <w:b/>
                <w:color w:val="0f172a"/>
                <w:sz w:val="20"/>
              </w:rPr>
              <w:t>Output</w:t>
            </w:r>
          </w:p>
        </w:tc>
        <w:tc>
          <w:tcPr>
            <w:tcW w:w="1400" w:type="dxa"/>
            <w:shd w:val="clear" w:fill="f1f5f9"/>
          </w:tcPr>
          <w:p>
            <w:pPr>
              <w:spacing w:before="60" w:after="60"/>
              <w:jc w:val="left"/>
            </w:pPr>
            <w:r>
              <w:rPr>
                <w:b/>
                <w:color w:val="0f172a"/>
                <w:sz w:val="20"/>
              </w:rPr>
              <w:t>Owner</w:t>
            </w:r>
          </w:p>
        </w:tc>
      </w:tr>
      <w:tr>
        <w:tc>
          <w:tcPr>
            <w:tcW w:w="2000" w:type="dxa"/>
          </w:tcPr>
          <w:p>
            <w:pPr>
              <w:spacing w:before="40" w:after="40"/>
              <w:jc w:val="left"/>
            </w:pPr>
            <w:r>
              <w:rPr>
                <w:color w:val="334155"/>
                <w:sz w:val="20"/>
              </w:rPr>
              <w:t>Segment customer base</w:t>
            </w:r>
          </w:p>
        </w:tc>
        <w:tc>
          <w:tcPr>
            <w:tcW w:w="2200" w:type="dxa"/>
          </w:tcPr>
          <w:p>
            <w:pPr>
              <w:spacing w:before="40" w:after="40"/>
              <w:jc w:val="left"/>
            </w:pPr>
            <w:r>
              <w:rPr>
                <w:color w:val="334155"/>
                <w:sz w:val="20"/>
              </w:rPr>
              <w:t>Customer size, maturity, usage, support needs</w:t>
            </w:r>
          </w:p>
        </w:tc>
        <w:tc>
          <w:tcPr>
            <w:tcW w:w="2400" w:type="dxa"/>
          </w:tcPr>
          <w:p>
            <w:pPr>
              <w:spacing w:before="40" w:after="40"/>
              <w:jc w:val="left"/>
            </w:pPr>
            <w:r>
              <w:rPr>
                <w:color w:val="334155"/>
                <w:sz w:val="20"/>
              </w:rPr>
              <w:t>Identify early stage, growing team, or enterprise profile</w:t>
            </w:r>
          </w:p>
        </w:tc>
        <w:tc>
          <w:tcPr>
            <w:tcW w:w="2000" w:type="dxa"/>
          </w:tcPr>
          <w:p>
            <w:pPr>
              <w:spacing w:before="40" w:after="40"/>
              <w:jc w:val="left"/>
            </w:pPr>
            <w:r>
              <w:rPr>
                <w:color w:val="334155"/>
                <w:sz w:val="20"/>
              </w:rPr>
              <w:t>Segment assignment</w:t>
            </w:r>
          </w:p>
        </w:tc>
        <w:tc>
          <w:tcPr>
            <w:tcW w:w="1400" w:type="dxa"/>
          </w:tcPr>
          <w:p>
            <w:pPr>
              <w:spacing w:before="40" w:after="40"/>
              <w:jc w:val="left"/>
            </w:pPr>
            <w:r>
              <w:rPr>
                <w:color w:val="334155"/>
                <w:sz w:val="20"/>
              </w:rPr>
              <w:t>Product marketing and revenue team</w:t>
            </w:r>
          </w:p>
        </w:tc>
      </w:tr>
      <w:tr>
        <w:tc>
          <w:tcPr>
            <w:tcW w:w="2000" w:type="dxa"/>
          </w:tcPr>
          <w:p>
            <w:pPr>
              <w:spacing w:before="40" w:after="40"/>
              <w:jc w:val="left"/>
            </w:pPr>
            <w:r>
              <w:rPr>
                <w:color w:val="334155"/>
                <w:sz w:val="20"/>
              </w:rPr>
              <w:t>Map value drivers</w:t>
            </w:r>
          </w:p>
        </w:tc>
        <w:tc>
          <w:tcPr>
            <w:tcW w:w="2200" w:type="dxa"/>
          </w:tcPr>
          <w:p>
            <w:pPr>
              <w:spacing w:before="40" w:after="40"/>
              <w:jc w:val="left"/>
            </w:pPr>
            <w:r>
              <w:rPr>
                <w:color w:val="334155"/>
                <w:sz w:val="20"/>
              </w:rPr>
              <w:t>Use cases, outcomes, risk reduction, scalability</w:t>
            </w:r>
          </w:p>
        </w:tc>
        <w:tc>
          <w:tcPr>
            <w:tcW w:w="2400" w:type="dxa"/>
          </w:tcPr>
          <w:p>
            <w:pPr>
              <w:spacing w:before="40" w:after="40"/>
              <w:jc w:val="left"/>
            </w:pPr>
            <w:r>
              <w:rPr>
                <w:color w:val="334155"/>
                <w:sz w:val="20"/>
              </w:rPr>
              <w:t>Determine what each segment values most</w:t>
            </w:r>
          </w:p>
        </w:tc>
        <w:tc>
          <w:tcPr>
            <w:tcW w:w="2000" w:type="dxa"/>
          </w:tcPr>
          <w:p>
            <w:pPr>
              <w:spacing w:before="40" w:after="40"/>
              <w:jc w:val="left"/>
            </w:pPr>
            <w:r>
              <w:rPr>
                <w:color w:val="334155"/>
                <w:sz w:val="20"/>
              </w:rPr>
              <w:t>Value-driver matrix</w:t>
            </w:r>
          </w:p>
        </w:tc>
        <w:tc>
          <w:tcPr>
            <w:tcW w:w="1400" w:type="dxa"/>
          </w:tcPr>
          <w:p>
            <w:pPr>
              <w:spacing w:before="40" w:after="40"/>
              <w:jc w:val="left"/>
            </w:pPr>
            <w:r>
              <w:rPr>
                <w:color w:val="334155"/>
                <w:sz w:val="20"/>
              </w:rPr>
              <w:t>Strategy and product</w:t>
            </w:r>
          </w:p>
        </w:tc>
      </w:tr>
      <w:tr>
        <w:tc>
          <w:tcPr>
            <w:tcW w:w="2000" w:type="dxa"/>
          </w:tcPr>
          <w:p>
            <w:pPr>
              <w:spacing w:before="40" w:after="40"/>
              <w:jc w:val="left"/>
            </w:pPr>
            <w:r>
              <w:rPr>
                <w:color w:val="334155"/>
                <w:sz w:val="20"/>
              </w:rPr>
              <w:t>Design tier fences</w:t>
            </w:r>
          </w:p>
        </w:tc>
        <w:tc>
          <w:tcPr>
            <w:tcW w:w="2200" w:type="dxa"/>
          </w:tcPr>
          <w:p>
            <w:pPr>
              <w:spacing w:before="40" w:after="40"/>
              <w:jc w:val="left"/>
            </w:pPr>
            <w:r>
              <w:rPr>
                <w:color w:val="334155"/>
                <w:sz w:val="20"/>
              </w:rPr>
              <w:t>Features, user limits, support levels, integrations</w:t>
            </w:r>
          </w:p>
        </w:tc>
        <w:tc>
          <w:tcPr>
            <w:tcW w:w="2400" w:type="dxa"/>
          </w:tcPr>
          <w:p>
            <w:pPr>
              <w:spacing w:before="40" w:after="40"/>
              <w:jc w:val="left"/>
            </w:pPr>
            <w:r>
              <w:rPr>
                <w:color w:val="334155"/>
                <w:sz w:val="20"/>
              </w:rPr>
              <w:t>Create clean upgrade reasons</w:t>
            </w:r>
          </w:p>
        </w:tc>
        <w:tc>
          <w:tcPr>
            <w:tcW w:w="2000" w:type="dxa"/>
          </w:tcPr>
          <w:p>
            <w:pPr>
              <w:spacing w:before="40" w:after="40"/>
              <w:jc w:val="left"/>
            </w:pPr>
            <w:r>
              <w:rPr>
                <w:color w:val="334155"/>
                <w:sz w:val="20"/>
              </w:rPr>
              <w:t>Starter, Growth, Enterprise packages</w:t>
            </w:r>
          </w:p>
        </w:tc>
        <w:tc>
          <w:tcPr>
            <w:tcW w:w="1400" w:type="dxa"/>
          </w:tcPr>
          <w:p>
            <w:pPr>
              <w:spacing w:before="40" w:after="40"/>
              <w:jc w:val="left"/>
            </w:pPr>
            <w:r>
              <w:rPr>
                <w:color w:val="334155"/>
                <w:sz w:val="20"/>
              </w:rPr>
              <w:t>Product and pricing</w:t>
            </w:r>
          </w:p>
        </w:tc>
      </w:tr>
      <w:tr>
        <w:tc>
          <w:tcPr>
            <w:tcW w:w="2000" w:type="dxa"/>
          </w:tcPr>
          <w:p>
            <w:pPr>
              <w:spacing w:before="40" w:after="40"/>
              <w:jc w:val="left"/>
            </w:pPr>
            <w:r>
              <w:rPr>
                <w:color w:val="334155"/>
                <w:sz w:val="20"/>
              </w:rPr>
              <w:t>Build pricing page</w:t>
            </w:r>
          </w:p>
        </w:tc>
        <w:tc>
          <w:tcPr>
            <w:tcW w:w="2200" w:type="dxa"/>
          </w:tcPr>
          <w:p>
            <w:pPr>
              <w:spacing w:before="40" w:after="40"/>
              <w:jc w:val="left"/>
            </w:pPr>
            <w:r>
              <w:rPr>
                <w:color w:val="334155"/>
                <w:sz w:val="20"/>
              </w:rPr>
              <w:t>Tier architecture and buyer logic</w:t>
            </w:r>
          </w:p>
        </w:tc>
        <w:tc>
          <w:tcPr>
            <w:tcW w:w="2400" w:type="dxa"/>
          </w:tcPr>
          <w:p>
            <w:pPr>
              <w:spacing w:before="40" w:after="40"/>
              <w:jc w:val="left"/>
            </w:pPr>
            <w:r>
              <w:rPr>
                <w:color w:val="334155"/>
                <w:sz w:val="20"/>
              </w:rPr>
              <w:t>Present decision-ready pricing</w:t>
            </w:r>
          </w:p>
        </w:tc>
        <w:tc>
          <w:tcPr>
            <w:tcW w:w="2000" w:type="dxa"/>
          </w:tcPr>
          <w:p>
            <w:pPr>
              <w:spacing w:before="40" w:after="40"/>
              <w:jc w:val="left"/>
            </w:pPr>
            <w:r>
              <w:rPr>
                <w:color w:val="334155"/>
                <w:sz w:val="20"/>
              </w:rPr>
              <w:t>Pricing UX structure</w:t>
            </w:r>
          </w:p>
        </w:tc>
        <w:tc>
          <w:tcPr>
            <w:tcW w:w="1400" w:type="dxa"/>
          </w:tcPr>
          <w:p>
            <w:pPr>
              <w:spacing w:before="40" w:after="40"/>
              <w:jc w:val="left"/>
            </w:pPr>
            <w:r>
              <w:rPr>
                <w:color w:val="334155"/>
                <w:sz w:val="20"/>
              </w:rPr>
              <w:t>Design and marketing</w:t>
            </w:r>
          </w:p>
        </w:tc>
      </w:tr>
      <w:tr>
        <w:tc>
          <w:tcPr>
            <w:tcW w:w="2000" w:type="dxa"/>
          </w:tcPr>
          <w:p>
            <w:pPr>
              <w:spacing w:before="40" w:after="40"/>
              <w:jc w:val="left"/>
            </w:pPr>
            <w:r>
              <w:rPr>
                <w:color w:val="334155"/>
                <w:sz w:val="20"/>
              </w:rPr>
              <w:t>Validate performance</w:t>
            </w:r>
          </w:p>
        </w:tc>
        <w:tc>
          <w:tcPr>
            <w:tcW w:w="2200" w:type="dxa"/>
          </w:tcPr>
          <w:p>
            <w:pPr>
              <w:spacing w:before="40" w:after="40"/>
              <w:jc w:val="left"/>
            </w:pPr>
            <w:r>
              <w:rPr>
                <w:color w:val="334155"/>
                <w:sz w:val="20"/>
              </w:rPr>
              <w:t>Conversion, churn, upgrade, ARPU</w:t>
            </w:r>
          </w:p>
        </w:tc>
        <w:tc>
          <w:tcPr>
            <w:tcW w:w="2400" w:type="dxa"/>
          </w:tcPr>
          <w:p>
            <w:pPr>
              <w:spacing w:before="40" w:after="40"/>
              <w:jc w:val="left"/>
            </w:pPr>
            <w:r>
              <w:rPr>
                <w:color w:val="334155"/>
                <w:sz w:val="20"/>
              </w:rPr>
              <w:t>Measure pricing impact</w:t>
            </w:r>
          </w:p>
        </w:tc>
        <w:tc>
          <w:tcPr>
            <w:tcW w:w="2000" w:type="dxa"/>
          </w:tcPr>
          <w:p>
            <w:pPr>
              <w:spacing w:before="40" w:after="40"/>
              <w:jc w:val="left"/>
            </w:pPr>
            <w:r>
              <w:rPr>
                <w:color w:val="334155"/>
                <w:sz w:val="20"/>
              </w:rPr>
              <w:t>Test report and iteration backlog</w:t>
            </w:r>
          </w:p>
        </w:tc>
        <w:tc>
          <w:tcPr>
            <w:tcW w:w="1400" w:type="dxa"/>
          </w:tcPr>
          <w:p>
            <w:pPr>
              <w:spacing w:before="40" w:after="40"/>
              <w:jc w:val="left"/>
            </w:pPr>
            <w:r>
              <w:rPr>
                <w:color w:val="334155"/>
                <w:sz w:val="20"/>
              </w:rPr>
              <w:t>Revenue operations</w:t>
            </w:r>
          </w:p>
        </w:tc>
      </w:tr>
    </w:tbl>
    <w:p>
      <w:pPr>
        <w:spacing w:before="80" w:after="160"/>
      </w:pPr>
    </w:p>
    <w:p>
      <w:pPr>
        <w:pStyle w:val="Heading2"/>
      </w:pPr>
      <w:r>
        <w:t>Before / After Analysis</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200"/>
        <w:gridCol w:w="2800"/>
        <w:gridCol w:w="2800"/>
        <w:gridCol w:w="2200"/>
      </w:tblGrid>
      <w:tr>
        <w:trPr>
          <w:tblHeader/>
        </w:trPr>
        <w:tc>
          <w:tcPr>
            <w:tcW w:w="2200" w:type="dxa"/>
            <w:shd w:val="clear" w:fill="f1f5f9"/>
          </w:tcPr>
          <w:p>
            <w:pPr>
              <w:spacing w:before="60" w:after="60"/>
              <w:jc w:val="left"/>
            </w:pPr>
            <w:r>
              <w:rPr>
                <w:b/>
                <w:color w:val="0f172a"/>
                <w:sz w:val="20"/>
              </w:rPr>
              <w:t>Dimension</w:t>
            </w:r>
          </w:p>
        </w:tc>
        <w:tc>
          <w:tcPr>
            <w:tcW w:w="2800" w:type="dxa"/>
            <w:shd w:val="clear" w:fill="f1f5f9"/>
          </w:tcPr>
          <w:p>
            <w:pPr>
              <w:spacing w:before="60" w:after="60"/>
              <w:jc w:val="left"/>
            </w:pPr>
            <w:r>
              <w:rPr>
                <w:b/>
                <w:color w:val="0f172a"/>
                <w:sz w:val="20"/>
              </w:rPr>
              <w:t>Before</w:t>
            </w:r>
          </w:p>
        </w:tc>
        <w:tc>
          <w:tcPr>
            <w:tcW w:w="2800" w:type="dxa"/>
            <w:shd w:val="clear" w:fill="f1f5f9"/>
          </w:tcPr>
          <w:p>
            <w:pPr>
              <w:spacing w:before="60" w:after="60"/>
              <w:jc w:val="left"/>
            </w:pPr>
            <w:r>
              <w:rPr>
                <w:b/>
                <w:color w:val="0f172a"/>
                <w:sz w:val="20"/>
              </w:rPr>
              <w:t>After</w:t>
            </w:r>
          </w:p>
        </w:tc>
        <w:tc>
          <w:tcPr>
            <w:tcW w:w="2200" w:type="dxa"/>
            <w:shd w:val="clear" w:fill="f1f5f9"/>
          </w:tcPr>
          <w:p>
            <w:pPr>
              <w:spacing w:before="60" w:after="60"/>
              <w:jc w:val="left"/>
            </w:pPr>
            <w:r>
              <w:rPr>
                <w:b/>
                <w:color w:val="0f172a"/>
                <w:sz w:val="20"/>
              </w:rPr>
              <w:t>Business Impact</w:t>
            </w:r>
          </w:p>
        </w:tc>
      </w:tr>
      <w:tr>
        <w:tc>
          <w:tcPr>
            <w:tcW w:w="2200" w:type="dxa"/>
          </w:tcPr>
          <w:p>
            <w:pPr>
              <w:spacing w:before="40" w:after="40"/>
              <w:jc w:val="left"/>
            </w:pPr>
            <w:r>
              <w:rPr>
                <w:color w:val="334155"/>
                <w:sz w:val="20"/>
              </w:rPr>
              <w:t>Pricing logic</w:t>
            </w:r>
          </w:p>
        </w:tc>
        <w:tc>
          <w:tcPr>
            <w:tcW w:w="2800" w:type="dxa"/>
          </w:tcPr>
          <w:p>
            <w:pPr>
              <w:spacing w:before="40" w:after="40"/>
              <w:jc w:val="left"/>
            </w:pPr>
            <w:r>
              <w:rPr>
                <w:color w:val="334155"/>
                <w:sz w:val="20"/>
              </w:rPr>
              <w:t>One flat plan</w:t>
            </w:r>
          </w:p>
        </w:tc>
        <w:tc>
          <w:tcPr>
            <w:tcW w:w="2800" w:type="dxa"/>
          </w:tcPr>
          <w:p>
            <w:pPr>
              <w:spacing w:before="40" w:after="40"/>
              <w:jc w:val="left"/>
            </w:pPr>
            <w:r>
              <w:rPr>
                <w:color w:val="334155"/>
                <w:sz w:val="20"/>
              </w:rPr>
              <w:t>Segmented tier architecture</w:t>
            </w:r>
          </w:p>
        </w:tc>
        <w:tc>
          <w:tcPr>
            <w:tcW w:w="2200" w:type="dxa"/>
          </w:tcPr>
          <w:p>
            <w:pPr>
              <w:spacing w:before="40" w:after="40"/>
              <w:jc w:val="left"/>
            </w:pPr>
            <w:r>
              <w:rPr>
                <w:color w:val="334155"/>
                <w:sz w:val="20"/>
              </w:rPr>
              <w:t>Better value capture</w:t>
            </w:r>
          </w:p>
        </w:tc>
      </w:tr>
      <w:tr>
        <w:tc>
          <w:tcPr>
            <w:tcW w:w="2200" w:type="dxa"/>
          </w:tcPr>
          <w:p>
            <w:pPr>
              <w:spacing w:before="40" w:after="40"/>
              <w:jc w:val="left"/>
            </w:pPr>
            <w:r>
              <w:rPr>
                <w:color w:val="334155"/>
                <w:sz w:val="20"/>
              </w:rPr>
              <w:t>Customer fit</w:t>
            </w:r>
          </w:p>
        </w:tc>
        <w:tc>
          <w:tcPr>
            <w:tcW w:w="2800" w:type="dxa"/>
          </w:tcPr>
          <w:p>
            <w:pPr>
              <w:spacing w:before="40" w:after="40"/>
              <w:jc w:val="left"/>
            </w:pPr>
            <w:r>
              <w:rPr>
                <w:color w:val="334155"/>
                <w:sz w:val="20"/>
              </w:rPr>
              <w:t>Same offer for unlike customers</w:t>
            </w:r>
          </w:p>
        </w:tc>
        <w:tc>
          <w:tcPr>
            <w:tcW w:w="2800" w:type="dxa"/>
          </w:tcPr>
          <w:p>
            <w:pPr>
              <w:spacing w:before="40" w:after="40"/>
              <w:jc w:val="left"/>
            </w:pPr>
            <w:r>
              <w:rPr>
                <w:color w:val="334155"/>
                <w:sz w:val="20"/>
              </w:rPr>
              <w:t>Package aligned to maturity</w:t>
            </w:r>
          </w:p>
        </w:tc>
        <w:tc>
          <w:tcPr>
            <w:tcW w:w="2200" w:type="dxa"/>
          </w:tcPr>
          <w:p>
            <w:pPr>
              <w:spacing w:before="40" w:after="40"/>
              <w:jc w:val="left"/>
            </w:pPr>
            <w:r>
              <w:rPr>
                <w:color w:val="334155"/>
                <w:sz w:val="20"/>
              </w:rPr>
              <w:t>Lower friction and better relevance</w:t>
            </w:r>
          </w:p>
        </w:tc>
      </w:tr>
      <w:tr>
        <w:tc>
          <w:tcPr>
            <w:tcW w:w="2200" w:type="dxa"/>
          </w:tcPr>
          <w:p>
            <w:pPr>
              <w:spacing w:before="40" w:after="40"/>
              <w:jc w:val="left"/>
            </w:pPr>
            <w:r>
              <w:rPr>
                <w:color w:val="334155"/>
                <w:sz w:val="20"/>
              </w:rPr>
              <w:t>Expansion path</w:t>
            </w:r>
          </w:p>
        </w:tc>
        <w:tc>
          <w:tcPr>
            <w:tcW w:w="2800" w:type="dxa"/>
          </w:tcPr>
          <w:p>
            <w:pPr>
              <w:spacing w:before="40" w:after="40"/>
              <w:jc w:val="left"/>
            </w:pPr>
            <w:r>
              <w:rPr>
                <w:color w:val="334155"/>
                <w:sz w:val="20"/>
              </w:rPr>
              <w:t>Weak or unclear</w:t>
            </w:r>
          </w:p>
        </w:tc>
        <w:tc>
          <w:tcPr>
            <w:tcW w:w="2800" w:type="dxa"/>
          </w:tcPr>
          <w:p>
            <w:pPr>
              <w:spacing w:before="40" w:after="40"/>
              <w:jc w:val="left"/>
            </w:pPr>
            <w:r>
              <w:rPr>
                <w:color w:val="334155"/>
                <w:sz w:val="20"/>
              </w:rPr>
              <w:t>Clear upgrade ladder</w:t>
            </w:r>
          </w:p>
        </w:tc>
        <w:tc>
          <w:tcPr>
            <w:tcW w:w="2200" w:type="dxa"/>
          </w:tcPr>
          <w:p>
            <w:pPr>
              <w:spacing w:before="40" w:after="40"/>
              <w:jc w:val="left"/>
            </w:pPr>
            <w:r>
              <w:rPr>
                <w:color w:val="334155"/>
                <w:sz w:val="20"/>
              </w:rPr>
              <w:t>Stronger expansion revenue</w:t>
            </w:r>
          </w:p>
        </w:tc>
      </w:tr>
      <w:tr>
        <w:tc>
          <w:tcPr>
            <w:tcW w:w="2200" w:type="dxa"/>
          </w:tcPr>
          <w:p>
            <w:pPr>
              <w:spacing w:before="40" w:after="40"/>
              <w:jc w:val="left"/>
            </w:pPr>
            <w:r>
              <w:rPr>
                <w:color w:val="334155"/>
                <w:sz w:val="20"/>
              </w:rPr>
              <w:t>Enterprise readiness</w:t>
            </w:r>
          </w:p>
        </w:tc>
        <w:tc>
          <w:tcPr>
            <w:tcW w:w="2800" w:type="dxa"/>
          </w:tcPr>
          <w:p>
            <w:pPr>
              <w:spacing w:before="40" w:after="40"/>
              <w:jc w:val="left"/>
            </w:pPr>
            <w:r>
              <w:rPr>
                <w:color w:val="334155"/>
                <w:sz w:val="20"/>
              </w:rPr>
              <w:t>No dedicated structure</w:t>
            </w:r>
          </w:p>
        </w:tc>
        <w:tc>
          <w:tcPr>
            <w:tcW w:w="2800" w:type="dxa"/>
          </w:tcPr>
          <w:p>
            <w:pPr>
              <w:spacing w:before="40" w:after="40"/>
              <w:jc w:val="left"/>
            </w:pPr>
            <w:r>
              <w:rPr>
                <w:color w:val="334155"/>
                <w:sz w:val="20"/>
              </w:rPr>
              <w:t>Enterprise tier with SLA, security, and custom integrations</w:t>
            </w:r>
          </w:p>
        </w:tc>
        <w:tc>
          <w:tcPr>
            <w:tcW w:w="2200" w:type="dxa"/>
          </w:tcPr>
          <w:p>
            <w:pPr>
              <w:spacing w:before="40" w:after="40"/>
              <w:jc w:val="left"/>
            </w:pPr>
            <w:r>
              <w:rPr>
                <w:color w:val="334155"/>
                <w:sz w:val="20"/>
              </w:rPr>
              <w:t>Better strategic-account positioning</w:t>
            </w:r>
          </w:p>
        </w:tc>
      </w:tr>
      <w:tr>
        <w:tc>
          <w:tcPr>
            <w:tcW w:w="2200" w:type="dxa"/>
          </w:tcPr>
          <w:p>
            <w:pPr>
              <w:spacing w:before="40" w:after="40"/>
              <w:jc w:val="left"/>
            </w:pPr>
            <w:r>
              <w:rPr>
                <w:color w:val="334155"/>
                <w:sz w:val="20"/>
              </w:rPr>
              <w:t>Pricing communication</w:t>
            </w:r>
          </w:p>
        </w:tc>
        <w:tc>
          <w:tcPr>
            <w:tcW w:w="2800" w:type="dxa"/>
          </w:tcPr>
          <w:p>
            <w:pPr>
              <w:spacing w:before="40" w:after="40"/>
              <w:jc w:val="left"/>
            </w:pPr>
            <w:r>
              <w:rPr>
                <w:color w:val="334155"/>
                <w:sz w:val="20"/>
              </w:rPr>
              <w:t>Feature list and price</w:t>
            </w:r>
          </w:p>
        </w:tc>
        <w:tc>
          <w:tcPr>
            <w:tcW w:w="2800" w:type="dxa"/>
          </w:tcPr>
          <w:p>
            <w:pPr>
              <w:spacing w:before="40" w:after="40"/>
              <w:jc w:val="left"/>
            </w:pPr>
            <w:r>
              <w:rPr>
                <w:color w:val="334155"/>
                <w:sz w:val="20"/>
              </w:rPr>
              <w:t>Buyer-centric segmentation story</w:t>
            </w:r>
          </w:p>
        </w:tc>
        <w:tc>
          <w:tcPr>
            <w:tcW w:w="2200" w:type="dxa"/>
          </w:tcPr>
          <w:p>
            <w:pPr>
              <w:spacing w:before="40" w:after="40"/>
              <w:jc w:val="left"/>
            </w:pPr>
            <w:r>
              <w:rPr>
                <w:color w:val="334155"/>
                <w:sz w:val="20"/>
              </w:rPr>
              <w:t>Higher trust and easier decision-making</w:t>
            </w:r>
          </w:p>
        </w:tc>
      </w:tr>
      <w:tr>
        <w:tc>
          <w:tcPr>
            <w:tcW w:w="2200" w:type="dxa"/>
          </w:tcPr>
          <w:p>
            <w:pPr>
              <w:spacing w:before="40" w:after="40"/>
              <w:jc w:val="left"/>
            </w:pPr>
            <w:r>
              <w:rPr>
                <w:color w:val="334155"/>
                <w:sz w:val="20"/>
              </w:rPr>
              <w:t>Validation</w:t>
            </w:r>
          </w:p>
        </w:tc>
        <w:tc>
          <w:tcPr>
            <w:tcW w:w="2800" w:type="dxa"/>
          </w:tcPr>
          <w:p>
            <w:pPr>
              <w:spacing w:before="40" w:after="40"/>
              <w:jc w:val="left"/>
            </w:pPr>
            <w:r>
              <w:rPr>
                <w:color w:val="334155"/>
                <w:sz w:val="20"/>
              </w:rPr>
              <w:t>Limited pricing test discipline</w:t>
            </w:r>
          </w:p>
        </w:tc>
        <w:tc>
          <w:tcPr>
            <w:tcW w:w="2800" w:type="dxa"/>
          </w:tcPr>
          <w:p>
            <w:pPr>
              <w:spacing w:before="40" w:after="40"/>
              <w:jc w:val="left"/>
            </w:pPr>
            <w:r>
              <w:rPr>
                <w:color w:val="334155"/>
                <w:sz w:val="20"/>
              </w:rPr>
              <w:t>Defined test plan and commercial metrics</w:t>
            </w:r>
          </w:p>
        </w:tc>
        <w:tc>
          <w:tcPr>
            <w:tcW w:w="2200" w:type="dxa"/>
          </w:tcPr>
          <w:p>
            <w:pPr>
              <w:spacing w:before="40" w:after="40"/>
              <w:jc w:val="left"/>
            </w:pPr>
            <w:r>
              <w:rPr>
                <w:color w:val="334155"/>
                <w:sz w:val="20"/>
              </w:rPr>
              <w:t>Safer rollout and measurable improvement</w:t>
            </w:r>
          </w:p>
        </w:tc>
      </w:tr>
    </w:tbl>
    <w:p>
      <w:pPr>
        <w:spacing w:before="80" w:after="160"/>
      </w:pPr>
    </w:p>
    <w:p>
      <w:pPr>
        <w:pStyle w:val="Heading2"/>
      </w:pPr>
      <w:r>
        <w:t>Risk Controls and Governance</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3200"/>
        <w:gridCol w:w="6800"/>
      </w:tblGrid>
      <w:tr>
        <w:trPr>
          <w:tblHeader/>
        </w:trPr>
        <w:tc>
          <w:tcPr>
            <w:tcW w:w="3200" w:type="dxa"/>
            <w:shd w:val="clear" w:fill="f1f5f9"/>
          </w:tcPr>
          <w:p>
            <w:pPr>
              <w:spacing w:before="60" w:after="60"/>
              <w:jc w:val="left"/>
            </w:pPr>
            <w:r>
              <w:rPr>
                <w:b/>
                <w:color w:val="0f172a"/>
                <w:sz w:val="20"/>
              </w:rPr>
              <w:t>Risk</w:t>
            </w:r>
          </w:p>
        </w:tc>
        <w:tc>
          <w:tcPr>
            <w:tcW w:w="6800" w:type="dxa"/>
            <w:shd w:val="clear" w:fill="f1f5f9"/>
          </w:tcPr>
          <w:p>
            <w:pPr>
              <w:spacing w:before="60" w:after="60"/>
              <w:jc w:val="left"/>
            </w:pPr>
            <w:r>
              <w:rPr>
                <w:b/>
                <w:color w:val="0f172a"/>
                <w:sz w:val="20"/>
              </w:rPr>
              <w:t>Control</w:t>
            </w:r>
          </w:p>
        </w:tc>
      </w:tr>
      <w:tr>
        <w:tc>
          <w:tcPr>
            <w:tcW w:w="3200" w:type="dxa"/>
          </w:tcPr>
          <w:p>
            <w:pPr>
              <w:spacing w:before="40" w:after="40"/>
              <w:jc w:val="left"/>
            </w:pPr>
            <w:r>
              <w:rPr>
                <w:color w:val="334155"/>
                <w:sz w:val="20"/>
              </w:rPr>
              <w:t>Customer backlash from pricing change</w:t>
            </w:r>
          </w:p>
        </w:tc>
        <w:tc>
          <w:tcPr>
            <w:tcW w:w="6800" w:type="dxa"/>
          </w:tcPr>
          <w:p>
            <w:pPr>
              <w:spacing w:before="40" w:after="40"/>
              <w:jc w:val="left"/>
            </w:pPr>
            <w:r>
              <w:rPr>
                <w:color w:val="334155"/>
                <w:sz w:val="20"/>
              </w:rPr>
              <w:t>Grandfathering rules, phased rollout, and proactive communication</w:t>
            </w:r>
          </w:p>
        </w:tc>
      </w:tr>
      <w:tr>
        <w:tc>
          <w:tcPr>
            <w:tcW w:w="3200" w:type="dxa"/>
          </w:tcPr>
          <w:p>
            <w:pPr>
              <w:spacing w:before="40" w:after="40"/>
              <w:jc w:val="left"/>
            </w:pPr>
            <w:r>
              <w:rPr>
                <w:color w:val="334155"/>
                <w:sz w:val="20"/>
              </w:rPr>
              <w:t>Churn among small customers</w:t>
            </w:r>
          </w:p>
        </w:tc>
        <w:tc>
          <w:tcPr>
            <w:tcW w:w="6800" w:type="dxa"/>
          </w:tcPr>
          <w:p>
            <w:pPr>
              <w:spacing w:before="40" w:after="40"/>
              <w:jc w:val="left"/>
            </w:pPr>
            <w:r>
              <w:rPr>
                <w:color w:val="334155"/>
                <w:sz w:val="20"/>
              </w:rPr>
              <w:t>Lower entry tier and usage-aligned value story</w:t>
            </w:r>
          </w:p>
        </w:tc>
      </w:tr>
      <w:tr>
        <w:tc>
          <w:tcPr>
            <w:tcW w:w="3200" w:type="dxa"/>
          </w:tcPr>
          <w:p>
            <w:pPr>
              <w:spacing w:before="40" w:after="40"/>
              <w:jc w:val="left"/>
            </w:pPr>
            <w:r>
              <w:rPr>
                <w:color w:val="334155"/>
                <w:sz w:val="20"/>
              </w:rPr>
              <w:t>Under-packaging enterprise value</w:t>
            </w:r>
          </w:p>
        </w:tc>
        <w:tc>
          <w:tcPr>
            <w:tcW w:w="6800" w:type="dxa"/>
          </w:tcPr>
          <w:p>
            <w:pPr>
              <w:spacing w:before="40" w:after="40"/>
              <w:jc w:val="left"/>
            </w:pPr>
            <w:r>
              <w:rPr>
                <w:color w:val="334155"/>
                <w:sz w:val="20"/>
              </w:rPr>
              <w:t>Enterprise tier includes SLA, security, dedicated support, analytics, and custom integrations</w:t>
            </w:r>
          </w:p>
        </w:tc>
      </w:tr>
      <w:tr>
        <w:tc>
          <w:tcPr>
            <w:tcW w:w="3200" w:type="dxa"/>
          </w:tcPr>
          <w:p>
            <w:pPr>
              <w:spacing w:before="40" w:after="40"/>
              <w:jc w:val="left"/>
            </w:pPr>
            <w:r>
              <w:rPr>
                <w:color w:val="334155"/>
                <w:sz w:val="20"/>
              </w:rPr>
              <w:t>Confusing pricing page</w:t>
            </w:r>
          </w:p>
        </w:tc>
        <w:tc>
          <w:tcPr>
            <w:tcW w:w="6800" w:type="dxa"/>
          </w:tcPr>
          <w:p>
            <w:pPr>
              <w:spacing w:before="40" w:after="40"/>
              <w:jc w:val="left"/>
            </w:pPr>
            <w:r>
              <w:rPr>
                <w:color w:val="334155"/>
                <w:sz w:val="20"/>
              </w:rPr>
              <w:t>Simple segment labels and clear feature fences</w:t>
            </w:r>
          </w:p>
        </w:tc>
      </w:tr>
      <w:tr>
        <w:tc>
          <w:tcPr>
            <w:tcW w:w="3200" w:type="dxa"/>
          </w:tcPr>
          <w:p>
            <w:pPr>
              <w:spacing w:before="40" w:after="40"/>
              <w:jc w:val="left"/>
            </w:pPr>
            <w:r>
              <w:rPr>
                <w:color w:val="334155"/>
                <w:sz w:val="20"/>
              </w:rPr>
              <w:t>Weak validation</w:t>
            </w:r>
          </w:p>
        </w:tc>
        <w:tc>
          <w:tcPr>
            <w:tcW w:w="6800" w:type="dxa"/>
          </w:tcPr>
          <w:p>
            <w:pPr>
              <w:spacing w:before="40" w:after="40"/>
              <w:jc w:val="left"/>
            </w:pPr>
            <w:r>
              <w:rPr>
                <w:color w:val="334155"/>
                <w:sz w:val="20"/>
              </w:rPr>
              <w:t>A/B testing, cohort analysis, sales feedback, and churn monitoring</w:t>
            </w:r>
          </w:p>
        </w:tc>
      </w:tr>
      <w:tr>
        <w:tc>
          <w:tcPr>
            <w:tcW w:w="3200" w:type="dxa"/>
          </w:tcPr>
          <w:p>
            <w:pPr>
              <w:spacing w:before="40" w:after="40"/>
              <w:jc w:val="left"/>
            </w:pPr>
            <w:r>
              <w:rPr>
                <w:color w:val="334155"/>
                <w:sz w:val="20"/>
              </w:rPr>
              <w:t>Margin erosion</w:t>
            </w:r>
          </w:p>
        </w:tc>
        <w:tc>
          <w:tcPr>
            <w:tcW w:w="6800" w:type="dxa"/>
          </w:tcPr>
          <w:p>
            <w:pPr>
              <w:spacing w:before="40" w:after="40"/>
              <w:jc w:val="left"/>
            </w:pPr>
            <w:r>
              <w:rPr>
                <w:color w:val="334155"/>
                <w:sz w:val="20"/>
              </w:rPr>
              <w:t>Support and service levels mapped to price tier</w:t>
            </w:r>
          </w:p>
        </w:tc>
      </w:tr>
      <w:tr>
        <w:tc>
          <w:tcPr>
            <w:tcW w:w="3200" w:type="dxa"/>
          </w:tcPr>
          <w:p>
            <w:pPr>
              <w:spacing w:before="40" w:after="40"/>
              <w:jc w:val="left"/>
            </w:pPr>
            <w:r>
              <w:rPr>
                <w:color w:val="334155"/>
                <w:sz w:val="20"/>
              </w:rPr>
              <w:t>Sales inconsistency</w:t>
            </w:r>
          </w:p>
        </w:tc>
        <w:tc>
          <w:tcPr>
            <w:tcW w:w="6800" w:type="dxa"/>
          </w:tcPr>
          <w:p>
            <w:pPr>
              <w:spacing w:before="40" w:after="40"/>
              <w:jc w:val="left"/>
            </w:pPr>
            <w:r>
              <w:rPr>
                <w:color w:val="334155"/>
                <w:sz w:val="20"/>
              </w:rPr>
              <w:t>Pricing memo and enablement guide for revenue teams</w:t>
            </w:r>
          </w:p>
        </w:tc>
      </w:tr>
    </w:tbl>
    <w:p>
      <w:pPr>
        <w:spacing w:before="80" w:after="160"/>
      </w:pPr>
    </w:p>
    <w:p>
      <w:pPr>
        <w:pStyle w:val="Heading2"/>
      </w:pPr>
      <w:r>
        <w:t>Metrics and Expected Impact</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4000"/>
        <w:gridCol w:w="6000"/>
      </w:tblGrid>
      <w:tr>
        <w:trPr>
          <w:tblHeader/>
        </w:trPr>
        <w:tc>
          <w:tcPr>
            <w:tcW w:w="4000" w:type="dxa"/>
            <w:shd w:val="clear" w:fill="f1f5f9"/>
          </w:tcPr>
          <w:p>
            <w:pPr>
              <w:spacing w:before="60" w:after="60"/>
              <w:jc w:val="left"/>
            </w:pPr>
            <w:r>
              <w:rPr>
                <w:b/>
                <w:color w:val="0f172a"/>
                <w:sz w:val="20"/>
              </w:rPr>
              <w:t>KPI</w:t>
            </w:r>
          </w:p>
        </w:tc>
        <w:tc>
          <w:tcPr>
            <w:tcW w:w="6000" w:type="dxa"/>
            <w:shd w:val="clear" w:fill="f1f5f9"/>
          </w:tcPr>
          <w:p>
            <w:pPr>
              <w:spacing w:before="60" w:after="60"/>
              <w:jc w:val="left"/>
            </w:pPr>
            <w:r>
              <w:rPr>
                <w:b/>
                <w:color w:val="0f172a"/>
                <w:sz w:val="20"/>
              </w:rPr>
              <w:t>Projected Result</w:t>
            </w:r>
          </w:p>
        </w:tc>
      </w:tr>
      <w:tr>
        <w:tc>
          <w:tcPr>
            <w:tcW w:w="4000" w:type="dxa"/>
          </w:tcPr>
          <w:p>
            <w:pPr>
              <w:spacing w:before="40" w:after="40"/>
              <w:jc w:val="left"/>
            </w:pPr>
            <w:r>
              <w:rPr>
                <w:color w:val="334155"/>
                <w:sz w:val="20"/>
              </w:rPr>
              <w:t>ARPU uplift</w:t>
            </w:r>
          </w:p>
        </w:tc>
        <w:tc>
          <w:tcPr>
            <w:tcW w:w="6000" w:type="dxa"/>
          </w:tcPr>
          <w:p>
            <w:pPr>
              <w:spacing w:before="40" w:after="40"/>
              <w:jc w:val="left"/>
            </w:pPr>
            <w:r>
              <w:rPr>
                <w:color w:val="334155"/>
                <w:sz w:val="20"/>
              </w:rPr>
              <w:t>35-45% target uplift through segmented pricing</w:t>
            </w:r>
          </w:p>
        </w:tc>
      </w:tr>
      <w:tr>
        <w:tc>
          <w:tcPr>
            <w:tcW w:w="4000" w:type="dxa"/>
          </w:tcPr>
          <w:p>
            <w:pPr>
              <w:spacing w:before="40" w:after="40"/>
              <w:jc w:val="left"/>
            </w:pPr>
            <w:r>
              <w:rPr>
                <w:color w:val="334155"/>
                <w:sz w:val="20"/>
              </w:rPr>
              <w:t>Expansion revenue</w:t>
            </w:r>
          </w:p>
        </w:tc>
        <w:tc>
          <w:tcPr>
            <w:tcW w:w="6000" w:type="dxa"/>
          </w:tcPr>
          <w:p>
            <w:pPr>
              <w:spacing w:before="40" w:after="40"/>
              <w:jc w:val="left"/>
            </w:pPr>
            <w:r>
              <w:rPr>
                <w:color w:val="334155"/>
                <w:sz w:val="20"/>
              </w:rPr>
              <w:t>20-30% increase from clearer upgrade paths</w:t>
            </w:r>
          </w:p>
        </w:tc>
      </w:tr>
      <w:tr>
        <w:tc>
          <w:tcPr>
            <w:tcW w:w="4000" w:type="dxa"/>
          </w:tcPr>
          <w:p>
            <w:pPr>
              <w:spacing w:before="40" w:after="40"/>
              <w:jc w:val="left"/>
            </w:pPr>
            <w:r>
              <w:rPr>
                <w:color w:val="334155"/>
                <w:sz w:val="20"/>
              </w:rPr>
              <w:t>Pricing mismatch</w:t>
            </w:r>
          </w:p>
        </w:tc>
        <w:tc>
          <w:tcPr>
            <w:tcW w:w="6000" w:type="dxa"/>
          </w:tcPr>
          <w:p>
            <w:pPr>
              <w:spacing w:before="40" w:after="40"/>
              <w:jc w:val="left"/>
            </w:pPr>
            <w:r>
              <w:rPr>
                <w:color w:val="334155"/>
                <w:sz w:val="20"/>
              </w:rPr>
              <w:t>Meaningful reduction through segment-specific offers</w:t>
            </w:r>
          </w:p>
        </w:tc>
      </w:tr>
      <w:tr>
        <w:tc>
          <w:tcPr>
            <w:tcW w:w="4000" w:type="dxa"/>
          </w:tcPr>
          <w:p>
            <w:pPr>
              <w:spacing w:before="40" w:after="40"/>
              <w:jc w:val="left"/>
            </w:pPr>
            <w:r>
              <w:rPr>
                <w:color w:val="334155"/>
                <w:sz w:val="20"/>
              </w:rPr>
              <w:t>Trial-to-paid conversion</w:t>
            </w:r>
          </w:p>
        </w:tc>
        <w:tc>
          <w:tcPr>
            <w:tcW w:w="6000" w:type="dxa"/>
          </w:tcPr>
          <w:p>
            <w:pPr>
              <w:spacing w:before="40" w:after="40"/>
              <w:jc w:val="left"/>
            </w:pPr>
            <w:r>
              <w:rPr>
                <w:color w:val="334155"/>
                <w:sz w:val="20"/>
              </w:rPr>
              <w:t>8-12% improvement from clearer buyer fit</w:t>
            </w:r>
          </w:p>
        </w:tc>
      </w:tr>
      <w:tr>
        <w:tc>
          <w:tcPr>
            <w:tcW w:w="4000" w:type="dxa"/>
          </w:tcPr>
          <w:p>
            <w:pPr>
              <w:spacing w:before="40" w:after="40"/>
              <w:jc w:val="left"/>
            </w:pPr>
            <w:r>
              <w:rPr>
                <w:color w:val="334155"/>
                <w:sz w:val="20"/>
              </w:rPr>
              <w:t>Enterprise pipeline quality</w:t>
            </w:r>
          </w:p>
        </w:tc>
        <w:tc>
          <w:tcPr>
            <w:tcW w:w="6000" w:type="dxa"/>
          </w:tcPr>
          <w:p>
            <w:pPr>
              <w:spacing w:before="40" w:after="40"/>
              <w:jc w:val="left"/>
            </w:pPr>
            <w:r>
              <w:rPr>
                <w:color w:val="334155"/>
                <w:sz w:val="20"/>
              </w:rPr>
              <w:t>Higher qualification through dedicated enterprise tier</w:t>
            </w:r>
          </w:p>
        </w:tc>
      </w:tr>
      <w:tr>
        <w:tc>
          <w:tcPr>
            <w:tcW w:w="4000" w:type="dxa"/>
          </w:tcPr>
          <w:p>
            <w:pPr>
              <w:spacing w:before="40" w:after="40"/>
              <w:jc w:val="left"/>
            </w:pPr>
            <w:r>
              <w:rPr>
                <w:color w:val="334155"/>
                <w:sz w:val="20"/>
              </w:rPr>
              <w:t>Churn risk</w:t>
            </w:r>
          </w:p>
        </w:tc>
        <w:tc>
          <w:tcPr>
            <w:tcW w:w="6000" w:type="dxa"/>
          </w:tcPr>
          <w:p>
            <w:pPr>
              <w:spacing w:before="40" w:after="40"/>
              <w:jc w:val="left"/>
            </w:pPr>
            <w:r>
              <w:rPr>
                <w:color w:val="334155"/>
                <w:sz w:val="20"/>
              </w:rPr>
              <w:t>Lower churn among small customers due to more accessible entry tier</w:t>
            </w:r>
          </w:p>
        </w:tc>
      </w:tr>
      <w:tr>
        <w:tc>
          <w:tcPr>
            <w:tcW w:w="4000" w:type="dxa"/>
          </w:tcPr>
          <w:p>
            <w:pPr>
              <w:spacing w:before="40" w:after="40"/>
              <w:jc w:val="left"/>
            </w:pPr>
            <w:r>
              <w:rPr>
                <w:color w:val="334155"/>
                <w:sz w:val="20"/>
              </w:rPr>
              <w:t>Sales confidence</w:t>
            </w:r>
          </w:p>
        </w:tc>
        <w:tc>
          <w:tcPr>
            <w:tcW w:w="6000" w:type="dxa"/>
          </w:tcPr>
          <w:p>
            <w:pPr>
              <w:spacing w:before="40" w:after="40"/>
              <w:jc w:val="left"/>
            </w:pPr>
            <w:r>
              <w:rPr>
                <w:color w:val="334155"/>
                <w:sz w:val="20"/>
              </w:rPr>
              <w:t>Stronger pricing narrative and objection handling</w:t>
            </w:r>
          </w:p>
        </w:tc>
      </w:tr>
    </w:tbl>
    <w:p>
      <w:pPr>
        <w:spacing w:before="80" w:after="160"/>
      </w:pPr>
    </w:p>
    <w:p>
      <w:pPr>
        <w:pStyle w:val="Heading2"/>
      </w:pPr>
      <w:r>
        <w:t>Deliverables</w:t>
      </w:r>
    </w:p>
    <w:p>
      <w:pPr>
        <w:ind w:left="720"/>
      </w:pPr>
      <w:r>
        <w:t>• Strategic pricing memo</w:t>
      </w:r>
    </w:p>
    <w:p>
      <w:pPr>
        <w:ind w:left="720"/>
      </w:pPr>
      <w:r>
        <w:t>• Customer segmentation framework</w:t>
      </w:r>
    </w:p>
    <w:p>
      <w:pPr>
        <w:ind w:left="720"/>
      </w:pPr>
      <w:r>
        <w:t>• Value-driver matrix</w:t>
      </w:r>
    </w:p>
    <w:p>
      <w:pPr>
        <w:ind w:left="720"/>
      </w:pPr>
      <w:r>
        <w:t>• Three-tier pricing architecture</w:t>
      </w:r>
    </w:p>
    <w:p>
      <w:pPr>
        <w:ind w:left="720"/>
      </w:pPr>
      <w:r>
        <w:t>• Pricing page UX structure</w:t>
      </w:r>
    </w:p>
    <w:p>
      <w:pPr>
        <w:ind w:left="720"/>
      </w:pPr>
      <w:r>
        <w:t>• ARPU progression model</w:t>
      </w:r>
    </w:p>
    <w:p>
      <w:pPr>
        <w:ind w:left="720"/>
      </w:pPr>
      <w:r>
        <w:t>• Before/after pricing analysis</w:t>
      </w:r>
    </w:p>
    <w:p>
      <w:pPr>
        <w:ind w:left="720"/>
      </w:pPr>
      <w:r>
        <w:t>• Pricing validation test plan</w:t>
      </w:r>
    </w:p>
    <w:p>
      <w:pPr>
        <w:ind w:left="720"/>
      </w:pPr>
      <w:r>
        <w:t>• Revenue impact model</w:t>
      </w:r>
    </w:p>
    <w:p>
      <w:pPr>
        <w:ind w:left="720"/>
      </w:pPr>
      <w:r>
        <w:t>• Executive-ready presentation</w:t>
      </w:r>
    </w:p>
    <w:p>
      <w:pPr>
        <w:pStyle w:val="Heading2"/>
      </w:pPr>
      <w:r>
        <w:t>Tools and Methods</w:t>
      </w:r>
    </w:p>
    <w:p>
      <w:r>
        <w:t>Figma for pricing page structure and tier-card design; Miro for segmentation and value-driver mapping; Excel for ARPU, plan mix, and scenario modeling; PowerPoint for strategic memo presentation; Notion for research synthesis and decision documentation; ChatGPT or AI-assisted research for pricing pattern exploration; customer segmentation analysis; competitive pricing review; heuristic evaluation of pricing-page clarity; revenue operations KPI modeling.</w:t>
      </w:r>
    </w:p>
    <w:p>
      <w:pPr>
        <w:pStyle w:val="Heading2"/>
      </w:pPr>
      <w:r>
        <w:t>Implementation Roadmap</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1600"/>
        <w:gridCol w:w="2200"/>
        <w:gridCol w:w="2400"/>
        <w:gridCol w:w="2200"/>
        <w:gridCol w:w="1600"/>
      </w:tblGrid>
      <w:tr>
        <w:trPr>
          <w:tblHeader/>
        </w:trPr>
        <w:tc>
          <w:tcPr>
            <w:tcW w:w="1600" w:type="dxa"/>
            <w:shd w:val="clear" w:fill="f1f5f9"/>
          </w:tcPr>
          <w:p>
            <w:pPr>
              <w:spacing w:before="60" w:after="60"/>
              <w:jc w:val="left"/>
            </w:pPr>
            <w:r>
              <w:rPr>
                <w:b/>
                <w:color w:val="0f172a"/>
                <w:sz w:val="20"/>
              </w:rPr>
              <w:t>Phase</w:t>
            </w:r>
          </w:p>
        </w:tc>
        <w:tc>
          <w:tcPr>
            <w:tcW w:w="2200" w:type="dxa"/>
            <w:shd w:val="clear" w:fill="f1f5f9"/>
          </w:tcPr>
          <w:p>
            <w:pPr>
              <w:spacing w:before="60" w:after="60"/>
              <w:jc w:val="left"/>
            </w:pPr>
            <w:r>
              <w:rPr>
                <w:b/>
                <w:color w:val="0f172a"/>
                <w:sz w:val="20"/>
              </w:rPr>
              <w:t>Objective</w:t>
            </w:r>
          </w:p>
        </w:tc>
        <w:tc>
          <w:tcPr>
            <w:tcW w:w="2400" w:type="dxa"/>
            <w:shd w:val="clear" w:fill="f1f5f9"/>
          </w:tcPr>
          <w:p>
            <w:pPr>
              <w:spacing w:before="60" w:after="60"/>
              <w:jc w:val="left"/>
            </w:pPr>
            <w:r>
              <w:rPr>
                <w:b/>
                <w:color w:val="0f172a"/>
                <w:sz w:val="20"/>
              </w:rPr>
              <w:t>Key Activities</w:t>
            </w:r>
          </w:p>
        </w:tc>
        <w:tc>
          <w:tcPr>
            <w:tcW w:w="2200" w:type="dxa"/>
            <w:shd w:val="clear" w:fill="f1f5f9"/>
          </w:tcPr>
          <w:p>
            <w:pPr>
              <w:spacing w:before="60" w:after="60"/>
              <w:jc w:val="left"/>
            </w:pPr>
            <w:r>
              <w:rPr>
                <w:b/>
                <w:color w:val="0f172a"/>
                <w:sz w:val="20"/>
              </w:rPr>
              <w:t>Deliverables</w:t>
            </w:r>
          </w:p>
        </w:tc>
        <w:tc>
          <w:tcPr>
            <w:tcW w:w="1600" w:type="dxa"/>
            <w:shd w:val="clear" w:fill="f1f5f9"/>
          </w:tcPr>
          <w:p>
            <w:pPr>
              <w:spacing w:before="60" w:after="60"/>
              <w:jc w:val="left"/>
            </w:pPr>
            <w:r>
              <w:rPr>
                <w:b/>
                <w:color w:val="0f172a"/>
                <w:sz w:val="20"/>
              </w:rPr>
              <w:t>Timeline</w:t>
            </w:r>
          </w:p>
        </w:tc>
      </w:tr>
      <w:tr>
        <w:tc>
          <w:tcPr>
            <w:tcW w:w="1600" w:type="dxa"/>
          </w:tcPr>
          <w:p>
            <w:pPr>
              <w:spacing w:before="40" w:after="40"/>
              <w:jc w:val="left"/>
            </w:pPr>
            <w:r>
              <w:rPr>
                <w:color w:val="334155"/>
                <w:sz w:val="20"/>
              </w:rPr>
              <w:t>1. Pricing Diagnosis</w:t>
            </w:r>
          </w:p>
        </w:tc>
        <w:tc>
          <w:tcPr>
            <w:tcW w:w="2200" w:type="dxa"/>
          </w:tcPr>
          <w:p>
            <w:pPr>
              <w:spacing w:before="40" w:after="40"/>
              <w:jc w:val="left"/>
            </w:pPr>
            <w:r>
              <w:rPr>
                <w:color w:val="334155"/>
                <w:sz w:val="20"/>
              </w:rPr>
              <w:t>Identify mismatch between customer segments and current plan</w:t>
            </w:r>
          </w:p>
        </w:tc>
        <w:tc>
          <w:tcPr>
            <w:tcW w:w="2400" w:type="dxa"/>
          </w:tcPr>
          <w:p>
            <w:pPr>
              <w:spacing w:before="40" w:after="40"/>
              <w:jc w:val="left"/>
            </w:pPr>
            <w:r>
              <w:rPr>
                <w:color w:val="334155"/>
                <w:sz w:val="20"/>
              </w:rPr>
              <w:t>Analyze customers, usage, churn, support, and willingness-to-pay signals</w:t>
            </w:r>
          </w:p>
        </w:tc>
        <w:tc>
          <w:tcPr>
            <w:tcW w:w="2200" w:type="dxa"/>
          </w:tcPr>
          <w:p>
            <w:pPr>
              <w:spacing w:before="40" w:after="40"/>
              <w:jc w:val="left"/>
            </w:pPr>
            <w:r>
              <w:rPr>
                <w:color w:val="334155"/>
                <w:sz w:val="20"/>
              </w:rPr>
              <w:t>Pricing diagnosis memo</w:t>
            </w:r>
          </w:p>
        </w:tc>
        <w:tc>
          <w:tcPr>
            <w:tcW w:w="1600" w:type="dxa"/>
          </w:tcPr>
          <w:p>
            <w:pPr>
              <w:spacing w:before="40" w:after="40"/>
              <w:jc w:val="left"/>
            </w:pPr>
            <w:r>
              <w:rPr>
                <w:color w:val="334155"/>
                <w:sz w:val="20"/>
              </w:rPr>
              <w:t>1-2 weeks</w:t>
            </w:r>
          </w:p>
        </w:tc>
      </w:tr>
      <w:tr>
        <w:tc>
          <w:tcPr>
            <w:tcW w:w="1600" w:type="dxa"/>
          </w:tcPr>
          <w:p>
            <w:pPr>
              <w:spacing w:before="40" w:after="40"/>
              <w:jc w:val="left"/>
            </w:pPr>
            <w:r>
              <w:rPr>
                <w:color w:val="334155"/>
                <w:sz w:val="20"/>
              </w:rPr>
              <w:t>2. Segmentation</w:t>
            </w:r>
          </w:p>
        </w:tc>
        <w:tc>
          <w:tcPr>
            <w:tcW w:w="2200" w:type="dxa"/>
          </w:tcPr>
          <w:p>
            <w:pPr>
              <w:spacing w:before="40" w:after="40"/>
              <w:jc w:val="left"/>
            </w:pPr>
            <w:r>
              <w:rPr>
                <w:color w:val="334155"/>
                <w:sz w:val="20"/>
              </w:rPr>
              <w:t>Define commercial architecture</w:t>
            </w:r>
          </w:p>
        </w:tc>
        <w:tc>
          <w:tcPr>
            <w:tcW w:w="2400" w:type="dxa"/>
          </w:tcPr>
          <w:p>
            <w:pPr>
              <w:spacing w:before="40" w:after="40"/>
              <w:jc w:val="left"/>
            </w:pPr>
            <w:r>
              <w:rPr>
                <w:color w:val="334155"/>
                <w:sz w:val="20"/>
              </w:rPr>
              <w:t>Build segments, tier fences, value drivers, and price points</w:t>
            </w:r>
          </w:p>
        </w:tc>
        <w:tc>
          <w:tcPr>
            <w:tcW w:w="2200" w:type="dxa"/>
          </w:tcPr>
          <w:p>
            <w:pPr>
              <w:spacing w:before="40" w:after="40"/>
              <w:jc w:val="left"/>
            </w:pPr>
            <w:r>
              <w:rPr>
                <w:color w:val="334155"/>
                <w:sz w:val="20"/>
              </w:rPr>
              <w:t>Pricing architecture</w:t>
            </w:r>
          </w:p>
        </w:tc>
        <w:tc>
          <w:tcPr>
            <w:tcW w:w="1600" w:type="dxa"/>
          </w:tcPr>
          <w:p>
            <w:pPr>
              <w:spacing w:before="40" w:after="40"/>
              <w:jc w:val="left"/>
            </w:pPr>
            <w:r>
              <w:rPr>
                <w:color w:val="334155"/>
                <w:sz w:val="20"/>
              </w:rPr>
              <w:t>2 weeks</w:t>
            </w:r>
          </w:p>
        </w:tc>
      </w:tr>
      <w:tr>
        <w:tc>
          <w:tcPr>
            <w:tcW w:w="1600" w:type="dxa"/>
          </w:tcPr>
          <w:p>
            <w:pPr>
              <w:spacing w:before="40" w:after="40"/>
              <w:jc w:val="left"/>
            </w:pPr>
            <w:r>
              <w:rPr>
                <w:color w:val="334155"/>
                <w:sz w:val="20"/>
              </w:rPr>
              <w:t>3. UX and Messaging</w:t>
            </w:r>
          </w:p>
        </w:tc>
        <w:tc>
          <w:tcPr>
            <w:tcW w:w="2200" w:type="dxa"/>
          </w:tcPr>
          <w:p>
            <w:pPr>
              <w:spacing w:before="40" w:after="40"/>
              <w:jc w:val="left"/>
            </w:pPr>
            <w:r>
              <w:rPr>
                <w:color w:val="334155"/>
                <w:sz w:val="20"/>
              </w:rPr>
              <w:t>Translate pricing logic into buyer-facing experience</w:t>
            </w:r>
          </w:p>
        </w:tc>
        <w:tc>
          <w:tcPr>
            <w:tcW w:w="2400" w:type="dxa"/>
          </w:tcPr>
          <w:p>
            <w:pPr>
              <w:spacing w:before="40" w:after="40"/>
              <w:jc w:val="left"/>
            </w:pPr>
            <w:r>
              <w:rPr>
                <w:color w:val="334155"/>
                <w:sz w:val="20"/>
              </w:rPr>
              <w:t>Design pricing page, plan comparison, and upgrade narrative</w:t>
            </w:r>
          </w:p>
        </w:tc>
        <w:tc>
          <w:tcPr>
            <w:tcW w:w="2200" w:type="dxa"/>
          </w:tcPr>
          <w:p>
            <w:pPr>
              <w:spacing w:before="40" w:after="40"/>
              <w:jc w:val="left"/>
            </w:pPr>
            <w:r>
              <w:rPr>
                <w:color w:val="334155"/>
                <w:sz w:val="20"/>
              </w:rPr>
              <w:t>Pricing UX prototype</w:t>
            </w:r>
          </w:p>
        </w:tc>
        <w:tc>
          <w:tcPr>
            <w:tcW w:w="1600" w:type="dxa"/>
          </w:tcPr>
          <w:p>
            <w:pPr>
              <w:spacing w:before="40" w:after="40"/>
              <w:jc w:val="left"/>
            </w:pPr>
            <w:r>
              <w:rPr>
                <w:color w:val="334155"/>
                <w:sz w:val="20"/>
              </w:rPr>
              <w:t>1-2 weeks</w:t>
            </w:r>
          </w:p>
        </w:tc>
      </w:tr>
      <w:tr>
        <w:tc>
          <w:tcPr>
            <w:tcW w:w="1600" w:type="dxa"/>
          </w:tcPr>
          <w:p>
            <w:pPr>
              <w:spacing w:before="40" w:after="40"/>
              <w:jc w:val="left"/>
            </w:pPr>
            <w:r>
              <w:rPr>
                <w:color w:val="334155"/>
                <w:sz w:val="20"/>
              </w:rPr>
              <w:t>4. Validation</w:t>
            </w:r>
          </w:p>
        </w:tc>
        <w:tc>
          <w:tcPr>
            <w:tcW w:w="2200" w:type="dxa"/>
          </w:tcPr>
          <w:p>
            <w:pPr>
              <w:spacing w:before="40" w:after="40"/>
              <w:jc w:val="left"/>
            </w:pPr>
            <w:r>
              <w:rPr>
                <w:color w:val="334155"/>
                <w:sz w:val="20"/>
              </w:rPr>
              <w:t>Test pricing assumptions before rollout</w:t>
            </w:r>
          </w:p>
        </w:tc>
        <w:tc>
          <w:tcPr>
            <w:tcW w:w="2400" w:type="dxa"/>
          </w:tcPr>
          <w:p>
            <w:pPr>
              <w:spacing w:before="40" w:after="40"/>
              <w:jc w:val="left"/>
            </w:pPr>
            <w:r>
              <w:rPr>
                <w:color w:val="334155"/>
                <w:sz w:val="20"/>
              </w:rPr>
              <w:t>Run interviews, sales review, and cohort modeling</w:t>
            </w:r>
          </w:p>
        </w:tc>
        <w:tc>
          <w:tcPr>
            <w:tcW w:w="2200" w:type="dxa"/>
          </w:tcPr>
          <w:p>
            <w:pPr>
              <w:spacing w:before="40" w:after="40"/>
              <w:jc w:val="left"/>
            </w:pPr>
            <w:r>
              <w:rPr>
                <w:color w:val="334155"/>
                <w:sz w:val="20"/>
              </w:rPr>
              <w:t>Test plan and validation report</w:t>
            </w:r>
          </w:p>
        </w:tc>
        <w:tc>
          <w:tcPr>
            <w:tcW w:w="1600" w:type="dxa"/>
          </w:tcPr>
          <w:p>
            <w:pPr>
              <w:spacing w:before="40" w:after="40"/>
              <w:jc w:val="left"/>
            </w:pPr>
            <w:r>
              <w:rPr>
                <w:color w:val="334155"/>
                <w:sz w:val="20"/>
              </w:rPr>
              <w:t>2-4 weeks</w:t>
            </w:r>
          </w:p>
        </w:tc>
      </w:tr>
      <w:tr>
        <w:tc>
          <w:tcPr>
            <w:tcW w:w="1600" w:type="dxa"/>
          </w:tcPr>
          <w:p>
            <w:pPr>
              <w:spacing w:before="40" w:after="40"/>
              <w:jc w:val="left"/>
            </w:pPr>
            <w:r>
              <w:rPr>
                <w:color w:val="334155"/>
                <w:sz w:val="20"/>
              </w:rPr>
              <w:t>5. Rollout</w:t>
            </w:r>
          </w:p>
        </w:tc>
        <w:tc>
          <w:tcPr>
            <w:tcW w:w="2200" w:type="dxa"/>
          </w:tcPr>
          <w:p>
            <w:pPr>
              <w:spacing w:before="40" w:after="40"/>
              <w:jc w:val="left"/>
            </w:pPr>
            <w:r>
              <w:rPr>
                <w:color w:val="334155"/>
                <w:sz w:val="20"/>
              </w:rPr>
              <w:t>Launch controlled pricing update</w:t>
            </w:r>
          </w:p>
        </w:tc>
        <w:tc>
          <w:tcPr>
            <w:tcW w:w="2400" w:type="dxa"/>
          </w:tcPr>
          <w:p>
            <w:pPr>
              <w:spacing w:before="40" w:after="40"/>
              <w:jc w:val="left"/>
            </w:pPr>
            <w:r>
              <w:rPr>
                <w:color w:val="334155"/>
                <w:sz w:val="20"/>
              </w:rPr>
              <w:t>Implement pricing, monitor KPIs, refine packages</w:t>
            </w:r>
          </w:p>
        </w:tc>
        <w:tc>
          <w:tcPr>
            <w:tcW w:w="2200" w:type="dxa"/>
          </w:tcPr>
          <w:p>
            <w:pPr>
              <w:spacing w:before="40" w:after="40"/>
              <w:jc w:val="left"/>
            </w:pPr>
            <w:r>
              <w:rPr>
                <w:color w:val="334155"/>
                <w:sz w:val="20"/>
              </w:rPr>
              <w:t>Launch dashboard and iteration backlog</w:t>
            </w:r>
          </w:p>
        </w:tc>
        <w:tc>
          <w:tcPr>
            <w:tcW w:w="1600" w:type="dxa"/>
          </w:tcPr>
          <w:p>
            <w:pPr>
              <w:spacing w:before="40" w:after="40"/>
              <w:jc w:val="left"/>
            </w:pPr>
            <w:r>
              <w:rPr>
                <w:color w:val="334155"/>
                <w:sz w:val="20"/>
              </w:rPr>
              <w:t>4-6 weeks</w:t>
            </w:r>
          </w:p>
        </w:tc>
      </w:tr>
    </w:tbl>
    <w:p>
      <w:pPr>
        <w:spacing w:before="80" w:after="160"/>
      </w:pPr>
    </w:p>
    <w:p>
      <w:pPr>
        <w:pStyle w:val="Heading2"/>
      </w:pPr>
      <w:r>
        <w:t>Portfolio Narrative</w:t>
      </w:r>
    </w:p>
    <w:p>
      <w:r>
        <w:t>This project demonstrates commercial strategy, product understanding, and UX clarity. It shows the ability to diagnose a revenue problem beneath the surface of pricing and translate that diagnosis into a structured monetization system.</w:t>
      </w:r>
    </w:p>
    <w:p>
      <w:r>
        <w:t>The strength of the work is the connection between customer maturity, product value, packaging, and financial impact. The project does not treat pricing as a cosmetic page update. It treats pricing as a growth system with clear decision logic, measurable outcomes, and implementation discipline.</w:t>
      </w:r>
    </w:p>
    <w:p>
      <w:pPr>
        <w:pStyle w:val="Heading2"/>
      </w:pPr>
      <w:r>
        <w:t>Final Conclusion</w:t>
      </w:r>
    </w:p>
    <w:p>
      <w:r>
        <w:t>B2B SaaS Pricing Architecture shows how pricing can become a strategic growth lever when it is designed as a segmentation system. The project improves buyer clarity, reduces mismatch, creates upgrade logic, and supports measurable ARPU expansion. It is a strong portfolio case because it turns product value into commercial architecture and gives the client a practical path from pricing research to revenue impact.</w:t>
      </w:r>
    </w:p>
    <w:p>
      <w:pPr>
        <w:pageBreakBefore/>
      </w:pPr>
    </w:p>
    <w:p>
      <w:pPr>
        <w:pStyle w:val="Heading1"/>
      </w:pPr>
      <w:r>
        <w:t>Project 3: Embedded Finance Investment Memo for LatAm B2B Marketplaces</w:t>
      </w:r>
      <w:bookmarkStart w:name="_P3" w:id="3"/>
      <w:bookmarkEnd w:id="3"/>
    </w:p>
    <w:p>
      <w:r>
        <w:rPr>
          <w:b/>
        </w:rPr>
        <w:t>Strategic Subtitle: </w:t>
      </w:r>
      <w:r>
        <w:t>Identifying how commerce platforms can become financial-margin engines</w:t>
      </w:r>
    </w:p>
    <w:p>
      <w:r>
        <w:rPr>
          <w:b/>
        </w:rPr>
        <w:t>Commercial Promise: </w:t>
      </w:r>
      <w:r>
        <w:t>An investor-ready thesis showing why B2B marketplaces in LatAm can convert transaction data into underwriting advantage and embedded finance revenue.</w:t>
      </w:r>
    </w:p>
    <w:p>
      <w:r>
        <w:rPr>
          <w:b/>
        </w:rPr>
        <w:t>Category: </w:t>
      </w:r>
      <w:r>
        <w:t>Investment Analysis, Fintech Strategy, Market Sizing, Embedded Finance</w:t>
      </w:r>
    </w:p>
    <w:p>
      <w:r>
        <w:rPr>
          <w:b/>
        </w:rPr>
        <w:t>Context: </w:t>
      </w:r>
      <w:r>
        <w:t>Venture fund, growth-equity investor, fintech strategy team, or B2B marketplace evaluating embedded finance expansion.</w:t>
      </w:r>
    </w:p>
    <w:p>
      <w:pPr>
        <w:pStyle w:val="Heading2"/>
      </w:pPr>
      <w:r>
        <w:t>Executive Summary</w:t>
      </w:r>
    </w:p>
    <w:p>
      <w:r>
        <w:t>This project developed an investment thesis around the next generation of financial institutions in Latin America: B2B marketplaces that may not look like banks but already own the transaction data banks struggle to access. The work framed embedded finance as a structural opportunity created by SME credit gaps, marketplace data advantages, and the convergence of commerce, payments, and underwriting.</w:t>
      </w:r>
    </w:p>
    <w:p>
      <w:r>
        <w:t>The project mattered because traditional banks often underwrite SMEs using incomplete, stale, or self-reported information. B2B marketplaces, by contrast, observe transactions, purchase behavior, supplier relationships, inventory activity, and repayment signals inside the workflow of commerce. That data can support better credit decisions, higher approval quality, and multiple financial revenue lines.</w:t>
      </w:r>
    </w:p>
    <w:p>
      <w:r>
        <w:t>The value created was an investor-grade narrative combining market size, timing window, product architecture, margin layers, underwriting moat, and risk discipline. The case is relevant for portfolio review because it demonstrates the ability to move beyond market commentary into structured investment reasoning.</w:t>
      </w:r>
    </w:p>
    <w:p>
      <w:pPr>
        <w:pStyle w:val="Heading2"/>
      </w:pPr>
      <w:r>
        <w:t>Project Context</w:t>
      </w:r>
    </w:p>
    <w:p>
      <w:r>
        <w:t>The client context was an investment or strategy team evaluating embedded finance opportunities across LatAm B2B commerce. The market included fragmented SME supply chains, limited formal credit access, growing digital marketplace adoption, and expanding payments infrastructure.</w:t>
      </w:r>
    </w:p>
    <w:p>
      <w:r>
        <w:t>Pain points in the existing market included: SMEs needed working capital but lacked bank-grade documentation; banks had low visibility into day-to-day business transactions; credit decisions relied on delayed statements, bureau data, and generic forms; marketplaces generated valuable transaction-level data but often monetized only take rate or subscription revenue; investors needed a clear thesis distinguishing real embedded-finance advantage from generic fintech excitement.</w:t>
      </w:r>
    </w:p>
    <w:p>
      <w:pPr>
        <w:pStyle w:val="Heading2"/>
      </w:pPr>
      <w:r>
        <w:t>Problem Statement</w:t>
      </w:r>
    </w:p>
    <w:p>
      <w:r>
        <w:t>The core problem was that SME finance in LatAm remains constrained by an underwriting visibility gap. Traditional lenders evaluate businesses from outside the transaction workflow, while marketplaces often see the operational truth: what merchants buy, how frequently they transact, which suppliers they depend on, how quickly they repay, and how their inventory cycles behave.</w:t>
      </w:r>
    </w:p>
    <w:p>
      <w:r>
        <w:t>Without a disciplined investment framework, decision-makers risk either missing a fund-defining opportunity or overfunding platforms without defensible underwriting economics.</w:t>
      </w:r>
    </w:p>
    <w:p>
      <w:pPr>
        <w:pStyle w:val="Heading2"/>
      </w:pPr>
      <w:r>
        <w:t>Project Goals</w:t>
      </w:r>
    </w:p>
    <w:p>
      <w:pPr>
        <w:ind w:left="720"/>
      </w:pPr>
      <w:r>
        <w:t>• Define the investment thesis: Explain why B2B marketplaces can become embedded finance platforms.</w:t>
      </w:r>
    </w:p>
    <w:p>
      <w:pPr>
        <w:ind w:left="720"/>
      </w:pPr>
      <w:r>
        <w:t>• Size the opportunity: Frame TAM, SAM, and SOM with clear assumptions.</w:t>
      </w:r>
    </w:p>
    <w:p>
      <w:pPr>
        <w:ind w:left="720"/>
      </w:pPr>
      <w:r>
        <w:t>• Identify timing logic: Show why infrastructure, digital adoption, and credit demand create a 24-36 month window.</w:t>
      </w:r>
    </w:p>
    <w:p>
      <w:pPr>
        <w:ind w:left="720"/>
      </w:pPr>
      <w:r>
        <w:t>• Map product layers: Analyze lending, payments, insurance, and FX as financial-margin opportunities.</w:t>
      </w:r>
    </w:p>
    <w:p>
      <w:pPr>
        <w:ind w:left="720"/>
      </w:pPr>
      <w:r>
        <w:t>• Evaluate the underwriting moat: Define the data signals that create lending advantage.</w:t>
      </w:r>
    </w:p>
    <w:p>
      <w:pPr>
        <w:ind w:left="720"/>
      </w:pPr>
      <w:r>
        <w:t>• Build risk architecture: Identify credit, regulatory, operational, data, and macro risks.</w:t>
      </w:r>
    </w:p>
    <w:p>
      <w:pPr>
        <w:ind w:left="720"/>
      </w:pPr>
      <w:r>
        <w:t>• Support investment decision-making: Convert market complexity into a conviction-ready memo.</w:t>
      </w:r>
    </w:p>
    <w:p>
      <w:pPr>
        <w:pStyle w:val="Heading2"/>
      </w:pPr>
      <w:r>
        <w:t>Strategic Approach</w:t>
      </w:r>
    </w:p>
    <w:p>
      <w:r>
        <w:t>The project used an investment memo methodology:</w:t>
      </w:r>
    </w:p>
    <w:p>
      <w:pPr>
        <w:ind w:left="720"/>
      </w:pPr>
      <w:r>
        <w:t>1. Discovery: Assessed SME finance constraints, B2B marketplace adoption, LatAm payments infrastructure, and embedded finance models.</w:t>
      </w:r>
    </w:p>
    <w:p>
      <w:pPr>
        <w:ind w:left="720"/>
      </w:pPr>
      <w:r>
        <w:t>2. Stakeholder analysis: Considered SME borrowers, marketplace operators, lenders, insurers, payment providers, regulators, and investors.</w:t>
      </w:r>
    </w:p>
    <w:p>
      <w:pPr>
        <w:ind w:left="720"/>
      </w:pPr>
      <w:r>
        <w:t>3. Workflow mapping: Mapped the movement from marketplace transactions to financial products.</w:t>
      </w:r>
    </w:p>
    <w:p>
      <w:pPr>
        <w:ind w:left="720"/>
      </w:pPr>
      <w:r>
        <w:t>4. Pain point identification: Identified where banks lose visibility and marketplaces gain underwriting insight.</w:t>
      </w:r>
    </w:p>
    <w:p>
      <w:pPr>
        <w:ind w:left="720"/>
      </w:pPr>
      <w:r>
        <w:t>5. UX/UI structuring: Organized the thesis into investor-readable slides with metrics, market maps, and product architecture.</w:t>
      </w:r>
    </w:p>
    <w:p>
      <w:pPr>
        <w:ind w:left="720"/>
      </w:pPr>
      <w:r>
        <w:t>6. Risk control definition: Built an investment risk matrix covering severity, probability, mitigants, and residual risk.</w:t>
      </w:r>
    </w:p>
    <w:p>
      <w:pPr>
        <w:ind w:left="720"/>
      </w:pPr>
      <w:r>
        <w:t>7. Solution framing: Positioned marketplace workflow data as the core strategic asset.</w:t>
      </w:r>
    </w:p>
    <w:p>
      <w:pPr>
        <w:ind w:left="720"/>
      </w:pPr>
      <w:r>
        <w:t>8. Validation logic: Used market sizing, margin pool analysis, data-moat assessment, and risk-adjusted return reasoning.</w:t>
      </w:r>
    </w:p>
    <w:p>
      <w:pPr>
        <w:pStyle w:val="Heading2"/>
      </w:pPr>
      <w:r>
        <w:t>Solution Overview</w:t>
      </w:r>
    </w:p>
    <w:p>
      <w:r>
        <w:t>The output was an investment memo and strategic framework for embedded finance in LatAm B2B marketplaces.</w:t>
      </w:r>
    </w:p>
    <w:p>
      <w:r>
        <w:t>Main components:</w:t>
      </w:r>
    </w:p>
    <w:p>
      <w:pPr>
        <w:ind w:left="720"/>
      </w:pPr>
      <w:r>
        <w:t>• Market thesis: B2B marketplaces can evolve into financial-margin engines by embedding lending, payments, insurance, and FX.</w:t>
      </w:r>
    </w:p>
    <w:p>
      <w:pPr>
        <w:ind w:left="720"/>
      </w:pPr>
      <w:r>
        <w:t>• Data advantage model: Marketplace transactions provide underwriting signals unavailable to traditional banks.</w:t>
      </w:r>
    </w:p>
    <w:p>
      <w:pPr>
        <w:ind w:left="720"/>
      </w:pPr>
      <w:r>
        <w:t>• Opportunity sizing: The memo framed a large credit gap, a multi-billion-dollar addressable market, and a focused initial serviceable market.</w:t>
      </w:r>
    </w:p>
    <w:p>
      <w:pPr>
        <w:ind w:left="720"/>
      </w:pPr>
      <w:r>
        <w:t>• Revenue architecture: Financial products were mapped as layers on top of marketplace GMV.</w:t>
      </w:r>
    </w:p>
    <w:p>
      <w:pPr>
        <w:ind w:left="720"/>
      </w:pPr>
      <w:r>
        <w:t>• Timing window: Digital infrastructure, open finance, marketplace adoption, and SME credit demand were synthesized into a 24-36 month opportunity window.</w:t>
      </w:r>
    </w:p>
    <w:p>
      <w:pPr>
        <w:ind w:left="720"/>
      </w:pPr>
      <w:r>
        <w:t>• Underwriting moat: Transaction behavior, supplier reliability, purchase history, inventory activity, repayment signals, and platform tenure were defined as defensible data inputs.</w:t>
      </w:r>
    </w:p>
    <w:p>
      <w:pPr>
        <w:ind w:left="720"/>
      </w:pPr>
      <w:r>
        <w:t>• Risk framework: Strong conviction was paired with disciplined risk identification and mitigation logic.</w:t>
      </w:r>
    </w:p>
    <w:p>
      <w:pPr>
        <w:pStyle w:val="Heading2"/>
      </w:pPr>
      <w:r>
        <w:t>UX/UI and Design Decisions</w:t>
      </w:r>
    </w:p>
    <w:p>
      <w:r>
        <w:t>The design language used a dark navy investment interface, green conviction signals, cyan data-flow lines, and map-based LatAm context. The visual structure supported executive decision-making by making the thesis readable at three levels: headline conviction, quantitative support, and operating logic.</w:t>
      </w:r>
    </w:p>
    <w:p>
      <w:r>
        <w:t>Design decisions: Information architecture structured the memo as thesis, insight, timing, market size, revenue layers, data moat, risk, and CTA; visual hierarchy used large thesis statements with metric cards to support fast investor scanning; data flow showed marketplace ecosystem data moving into financial products; trust-building paired upside metrics with risk architecture to avoid promotional overstatement; decision support used market sizing and risk matrices to help investors compare opportunity quality; complexity reduction converted embedded finance from a broad theme into a specific operating and investment model.</w:t>
      </w:r>
    </w:p>
    <w:p>
      <w:pPr>
        <w:pStyle w:val="Heading2"/>
      </w:pPr>
      <w:r>
        <w:t>Workflow or Operating Model</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1600"/>
        <w:gridCol w:w="2200"/>
        <w:gridCol w:w="2000"/>
        <w:gridCol w:w="1800"/>
        <w:gridCol w:w="2400"/>
      </w:tblGrid>
      <w:tr>
        <w:trPr>
          <w:tblHeader/>
        </w:trPr>
        <w:tc>
          <w:tcPr>
            <w:tcW w:w="1600" w:type="dxa"/>
            <w:shd w:val="clear" w:fill="f1f5f9"/>
          </w:tcPr>
          <w:p>
            <w:pPr>
              <w:spacing w:before="60" w:after="60"/>
              <w:jc w:val="left"/>
            </w:pPr>
            <w:r>
              <w:rPr>
                <w:b/>
                <w:color w:val="0f172a"/>
                <w:sz w:val="20"/>
              </w:rPr>
              <w:t>Process Step</w:t>
            </w:r>
          </w:p>
        </w:tc>
        <w:tc>
          <w:tcPr>
            <w:tcW w:w="2200" w:type="dxa"/>
            <w:shd w:val="clear" w:fill="f1f5f9"/>
          </w:tcPr>
          <w:p>
            <w:pPr>
              <w:spacing w:before="60" w:after="60"/>
              <w:jc w:val="left"/>
            </w:pPr>
            <w:r>
              <w:rPr>
                <w:b/>
                <w:color w:val="0f172a"/>
                <w:sz w:val="20"/>
              </w:rPr>
              <w:t>Marketplace Input</w:t>
            </w:r>
          </w:p>
        </w:tc>
        <w:tc>
          <w:tcPr>
            <w:tcW w:w="2000" w:type="dxa"/>
            <w:shd w:val="clear" w:fill="f1f5f9"/>
          </w:tcPr>
          <w:p>
            <w:pPr>
              <w:spacing w:before="60" w:after="60"/>
              <w:jc w:val="left"/>
            </w:pPr>
            <w:r>
              <w:rPr>
                <w:b/>
                <w:color w:val="0f172a"/>
                <w:sz w:val="20"/>
              </w:rPr>
              <w:t>Financial Use</w:t>
            </w:r>
          </w:p>
        </w:tc>
        <w:tc>
          <w:tcPr>
            <w:tcW w:w="1800" w:type="dxa"/>
            <w:shd w:val="clear" w:fill="f1f5f9"/>
          </w:tcPr>
          <w:p>
            <w:pPr>
              <w:spacing w:before="60" w:after="60"/>
              <w:jc w:val="left"/>
            </w:pPr>
            <w:r>
              <w:rPr>
                <w:b/>
                <w:color w:val="0f172a"/>
                <w:sz w:val="20"/>
              </w:rPr>
              <w:t>Output</w:t>
            </w:r>
          </w:p>
        </w:tc>
        <w:tc>
          <w:tcPr>
            <w:tcW w:w="2400" w:type="dxa"/>
            <w:shd w:val="clear" w:fill="f1f5f9"/>
          </w:tcPr>
          <w:p>
            <w:pPr>
              <w:spacing w:before="60" w:after="60"/>
              <w:jc w:val="left"/>
            </w:pPr>
            <w:r>
              <w:rPr>
                <w:b/>
                <w:color w:val="0f172a"/>
                <w:sz w:val="20"/>
              </w:rPr>
              <w:t>Risk Control</w:t>
            </w:r>
          </w:p>
        </w:tc>
      </w:tr>
      <w:tr>
        <w:tc>
          <w:tcPr>
            <w:tcW w:w="1600" w:type="dxa"/>
          </w:tcPr>
          <w:p>
            <w:pPr>
              <w:spacing w:before="40" w:after="40"/>
              <w:jc w:val="left"/>
            </w:pPr>
            <w:r>
              <w:rPr>
                <w:color w:val="334155"/>
                <w:sz w:val="20"/>
              </w:rPr>
              <w:t>Transaction capture</w:t>
            </w:r>
          </w:p>
        </w:tc>
        <w:tc>
          <w:tcPr>
            <w:tcW w:w="2200" w:type="dxa"/>
          </w:tcPr>
          <w:p>
            <w:pPr>
              <w:spacing w:before="40" w:after="40"/>
              <w:jc w:val="left"/>
            </w:pPr>
            <w:r>
              <w:rPr>
                <w:color w:val="334155"/>
                <w:sz w:val="20"/>
              </w:rPr>
              <w:t>Orders, frequency, value, seasonality</w:t>
            </w:r>
          </w:p>
        </w:tc>
        <w:tc>
          <w:tcPr>
            <w:tcW w:w="2000" w:type="dxa"/>
          </w:tcPr>
          <w:p>
            <w:pPr>
              <w:spacing w:before="40" w:after="40"/>
              <w:jc w:val="left"/>
            </w:pPr>
            <w:r>
              <w:rPr>
                <w:color w:val="334155"/>
                <w:sz w:val="20"/>
              </w:rPr>
              <w:t>Revenue stability assessment</w:t>
            </w:r>
          </w:p>
        </w:tc>
        <w:tc>
          <w:tcPr>
            <w:tcW w:w="1800" w:type="dxa"/>
          </w:tcPr>
          <w:p>
            <w:pPr>
              <w:spacing w:before="40" w:after="40"/>
              <w:jc w:val="left"/>
            </w:pPr>
            <w:r>
              <w:rPr>
                <w:color w:val="334155"/>
                <w:sz w:val="20"/>
              </w:rPr>
              <w:t>Merchant activity profile</w:t>
            </w:r>
          </w:p>
        </w:tc>
        <w:tc>
          <w:tcPr>
            <w:tcW w:w="2400" w:type="dxa"/>
          </w:tcPr>
          <w:p>
            <w:pPr>
              <w:spacing w:before="40" w:after="40"/>
              <w:jc w:val="left"/>
            </w:pPr>
            <w:r>
              <w:rPr>
                <w:color w:val="334155"/>
                <w:sz w:val="20"/>
              </w:rPr>
              <w:t>Data-quality checks</w:t>
            </w:r>
          </w:p>
        </w:tc>
      </w:tr>
      <w:tr>
        <w:tc>
          <w:tcPr>
            <w:tcW w:w="1600" w:type="dxa"/>
          </w:tcPr>
          <w:p>
            <w:pPr>
              <w:spacing w:before="40" w:after="40"/>
              <w:jc w:val="left"/>
            </w:pPr>
            <w:r>
              <w:rPr>
                <w:color w:val="334155"/>
                <w:sz w:val="20"/>
              </w:rPr>
              <w:t>Supplier network analysis</w:t>
            </w:r>
          </w:p>
        </w:tc>
        <w:tc>
          <w:tcPr>
            <w:tcW w:w="2200" w:type="dxa"/>
          </w:tcPr>
          <w:p>
            <w:pPr>
              <w:spacing w:before="40" w:after="40"/>
              <w:jc w:val="left"/>
            </w:pPr>
            <w:r>
              <w:rPr>
                <w:color w:val="334155"/>
                <w:sz w:val="20"/>
              </w:rPr>
              <w:t>Supplier count, reliability, concentration</w:t>
            </w:r>
          </w:p>
        </w:tc>
        <w:tc>
          <w:tcPr>
            <w:tcW w:w="2000" w:type="dxa"/>
          </w:tcPr>
          <w:p>
            <w:pPr>
              <w:spacing w:before="40" w:after="40"/>
              <w:jc w:val="left"/>
            </w:pPr>
            <w:r>
              <w:rPr>
                <w:color w:val="334155"/>
                <w:sz w:val="20"/>
              </w:rPr>
              <w:t>Operational resilience view</w:t>
            </w:r>
          </w:p>
        </w:tc>
        <w:tc>
          <w:tcPr>
            <w:tcW w:w="1800" w:type="dxa"/>
          </w:tcPr>
          <w:p>
            <w:pPr>
              <w:spacing w:before="40" w:after="40"/>
              <w:jc w:val="left"/>
            </w:pPr>
            <w:r>
              <w:rPr>
                <w:color w:val="334155"/>
                <w:sz w:val="20"/>
              </w:rPr>
              <w:t>Supplier risk score</w:t>
            </w:r>
          </w:p>
        </w:tc>
        <w:tc>
          <w:tcPr>
            <w:tcW w:w="2400" w:type="dxa"/>
          </w:tcPr>
          <w:p>
            <w:pPr>
              <w:spacing w:before="40" w:after="40"/>
              <w:jc w:val="left"/>
            </w:pPr>
            <w:r>
              <w:rPr>
                <w:color w:val="334155"/>
                <w:sz w:val="20"/>
              </w:rPr>
              <w:t>Concentration thresholds</w:t>
            </w:r>
          </w:p>
        </w:tc>
      </w:tr>
      <w:tr>
        <w:tc>
          <w:tcPr>
            <w:tcW w:w="1600" w:type="dxa"/>
          </w:tcPr>
          <w:p>
            <w:pPr>
              <w:spacing w:before="40" w:after="40"/>
              <w:jc w:val="left"/>
            </w:pPr>
            <w:r>
              <w:rPr>
                <w:color w:val="334155"/>
                <w:sz w:val="20"/>
              </w:rPr>
              <w:t>Inventory and purchase behavior</w:t>
            </w:r>
          </w:p>
        </w:tc>
        <w:tc>
          <w:tcPr>
            <w:tcW w:w="2200" w:type="dxa"/>
          </w:tcPr>
          <w:p>
            <w:pPr>
              <w:spacing w:before="40" w:after="40"/>
              <w:jc w:val="left"/>
            </w:pPr>
            <w:r>
              <w:rPr>
                <w:color w:val="334155"/>
                <w:sz w:val="20"/>
              </w:rPr>
              <w:t>Stock cycles, reorder patterns, gaps</w:t>
            </w:r>
          </w:p>
        </w:tc>
        <w:tc>
          <w:tcPr>
            <w:tcW w:w="2000" w:type="dxa"/>
          </w:tcPr>
          <w:p>
            <w:pPr>
              <w:spacing w:before="40" w:after="40"/>
              <w:jc w:val="left"/>
            </w:pPr>
            <w:r>
              <w:rPr>
                <w:color w:val="334155"/>
                <w:sz w:val="20"/>
              </w:rPr>
              <w:t>Working-capital need prediction</w:t>
            </w:r>
          </w:p>
        </w:tc>
        <w:tc>
          <w:tcPr>
            <w:tcW w:w="1800" w:type="dxa"/>
          </w:tcPr>
          <w:p>
            <w:pPr>
              <w:spacing w:before="40" w:after="40"/>
              <w:jc w:val="left"/>
            </w:pPr>
            <w:r>
              <w:rPr>
                <w:color w:val="334155"/>
                <w:sz w:val="20"/>
              </w:rPr>
              <w:t>Inventory finance signal</w:t>
            </w:r>
          </w:p>
        </w:tc>
        <w:tc>
          <w:tcPr>
            <w:tcW w:w="2400" w:type="dxa"/>
          </w:tcPr>
          <w:p>
            <w:pPr>
              <w:spacing w:before="40" w:after="40"/>
              <w:jc w:val="left"/>
            </w:pPr>
            <w:r>
              <w:rPr>
                <w:color w:val="334155"/>
                <w:sz w:val="20"/>
              </w:rPr>
              <w:t>Fraud and anomaly detection</w:t>
            </w:r>
          </w:p>
        </w:tc>
      </w:tr>
      <w:tr>
        <w:tc>
          <w:tcPr>
            <w:tcW w:w="1600" w:type="dxa"/>
          </w:tcPr>
          <w:p>
            <w:pPr>
              <w:spacing w:before="40" w:after="40"/>
              <w:jc w:val="left"/>
            </w:pPr>
            <w:r>
              <w:rPr>
                <w:color w:val="334155"/>
                <w:sz w:val="20"/>
              </w:rPr>
              <w:t>Repayment behavior</w:t>
            </w:r>
          </w:p>
        </w:tc>
        <w:tc>
          <w:tcPr>
            <w:tcW w:w="2200" w:type="dxa"/>
          </w:tcPr>
          <w:p>
            <w:pPr>
              <w:spacing w:before="40" w:after="40"/>
              <w:jc w:val="left"/>
            </w:pPr>
            <w:r>
              <w:rPr>
                <w:color w:val="334155"/>
                <w:sz w:val="20"/>
              </w:rPr>
              <w:t>Marketplace credit, payouts, collections</w:t>
            </w:r>
          </w:p>
        </w:tc>
        <w:tc>
          <w:tcPr>
            <w:tcW w:w="2000" w:type="dxa"/>
          </w:tcPr>
          <w:p>
            <w:pPr>
              <w:spacing w:before="40" w:after="40"/>
              <w:jc w:val="left"/>
            </w:pPr>
            <w:r>
              <w:rPr>
                <w:color w:val="334155"/>
                <w:sz w:val="20"/>
              </w:rPr>
              <w:t>Probability-of-default signal</w:t>
            </w:r>
          </w:p>
        </w:tc>
        <w:tc>
          <w:tcPr>
            <w:tcW w:w="1800" w:type="dxa"/>
          </w:tcPr>
          <w:p>
            <w:pPr>
              <w:spacing w:before="40" w:after="40"/>
              <w:jc w:val="left"/>
            </w:pPr>
            <w:r>
              <w:rPr>
                <w:color w:val="334155"/>
                <w:sz w:val="20"/>
              </w:rPr>
              <w:t>Repayment reliability score</w:t>
            </w:r>
          </w:p>
        </w:tc>
        <w:tc>
          <w:tcPr>
            <w:tcW w:w="2400" w:type="dxa"/>
          </w:tcPr>
          <w:p>
            <w:pPr>
              <w:spacing w:before="40" w:after="40"/>
              <w:jc w:val="left"/>
            </w:pPr>
            <w:r>
              <w:rPr>
                <w:color w:val="334155"/>
                <w:sz w:val="20"/>
              </w:rPr>
              <w:t>Exposure limits</w:t>
            </w:r>
          </w:p>
        </w:tc>
      </w:tr>
      <w:tr>
        <w:tc>
          <w:tcPr>
            <w:tcW w:w="1600" w:type="dxa"/>
          </w:tcPr>
          <w:p>
            <w:pPr>
              <w:spacing w:before="40" w:after="40"/>
              <w:jc w:val="left"/>
            </w:pPr>
            <w:r>
              <w:rPr>
                <w:color w:val="334155"/>
                <w:sz w:val="20"/>
              </w:rPr>
              <w:t>Product matching</w:t>
            </w:r>
          </w:p>
        </w:tc>
        <w:tc>
          <w:tcPr>
            <w:tcW w:w="2200" w:type="dxa"/>
          </w:tcPr>
          <w:p>
            <w:pPr>
              <w:spacing w:before="40" w:after="40"/>
              <w:jc w:val="left"/>
            </w:pPr>
            <w:r>
              <w:rPr>
                <w:color w:val="334155"/>
                <w:sz w:val="20"/>
              </w:rPr>
              <w:t>Risk score and merchant profile</w:t>
            </w:r>
          </w:p>
        </w:tc>
        <w:tc>
          <w:tcPr>
            <w:tcW w:w="2000" w:type="dxa"/>
          </w:tcPr>
          <w:p>
            <w:pPr>
              <w:spacing w:before="40" w:after="40"/>
              <w:jc w:val="left"/>
            </w:pPr>
            <w:r>
              <w:rPr>
                <w:color w:val="334155"/>
                <w:sz w:val="20"/>
              </w:rPr>
              <w:t>Lending, payments, insurance, FX</w:t>
            </w:r>
          </w:p>
        </w:tc>
        <w:tc>
          <w:tcPr>
            <w:tcW w:w="1800" w:type="dxa"/>
          </w:tcPr>
          <w:p>
            <w:pPr>
              <w:spacing w:before="40" w:after="40"/>
              <w:jc w:val="left"/>
            </w:pPr>
            <w:r>
              <w:rPr>
                <w:color w:val="334155"/>
                <w:sz w:val="20"/>
              </w:rPr>
              <w:t>Embedded finance offer</w:t>
            </w:r>
          </w:p>
        </w:tc>
        <w:tc>
          <w:tcPr>
            <w:tcW w:w="2400" w:type="dxa"/>
          </w:tcPr>
          <w:p>
            <w:pPr>
              <w:spacing w:before="40" w:after="40"/>
              <w:jc w:val="left"/>
            </w:pPr>
            <w:r>
              <w:rPr>
                <w:color w:val="334155"/>
                <w:sz w:val="20"/>
              </w:rPr>
              <w:t>Human review for exceptions</w:t>
            </w:r>
          </w:p>
        </w:tc>
      </w:tr>
    </w:tbl>
    <w:p>
      <w:pPr>
        <w:spacing w:before="80" w:after="160"/>
      </w:pPr>
    </w:p>
    <w:p>
      <w:pPr>
        <w:pStyle w:val="Heading2"/>
      </w:pPr>
      <w:r>
        <w:t>Before / After Analysis</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200"/>
        <w:gridCol w:w="2800"/>
        <w:gridCol w:w="2800"/>
        <w:gridCol w:w="2200"/>
      </w:tblGrid>
      <w:tr>
        <w:trPr>
          <w:tblHeader/>
        </w:trPr>
        <w:tc>
          <w:tcPr>
            <w:tcW w:w="2200" w:type="dxa"/>
            <w:shd w:val="clear" w:fill="f1f5f9"/>
          </w:tcPr>
          <w:p>
            <w:pPr>
              <w:spacing w:before="60" w:after="60"/>
              <w:jc w:val="left"/>
            </w:pPr>
            <w:r>
              <w:rPr>
                <w:b/>
                <w:color w:val="0f172a"/>
                <w:sz w:val="20"/>
              </w:rPr>
              <w:t>Dimension</w:t>
            </w:r>
          </w:p>
        </w:tc>
        <w:tc>
          <w:tcPr>
            <w:tcW w:w="2800" w:type="dxa"/>
            <w:shd w:val="clear" w:fill="f1f5f9"/>
          </w:tcPr>
          <w:p>
            <w:pPr>
              <w:spacing w:before="60" w:after="60"/>
              <w:jc w:val="left"/>
            </w:pPr>
            <w:r>
              <w:rPr>
                <w:b/>
                <w:color w:val="0f172a"/>
                <w:sz w:val="20"/>
              </w:rPr>
              <w:t>Before</w:t>
            </w:r>
          </w:p>
        </w:tc>
        <w:tc>
          <w:tcPr>
            <w:tcW w:w="2800" w:type="dxa"/>
            <w:shd w:val="clear" w:fill="f1f5f9"/>
          </w:tcPr>
          <w:p>
            <w:pPr>
              <w:spacing w:before="60" w:after="60"/>
              <w:jc w:val="left"/>
            </w:pPr>
            <w:r>
              <w:rPr>
                <w:b/>
                <w:color w:val="0f172a"/>
                <w:sz w:val="20"/>
              </w:rPr>
              <w:t>After</w:t>
            </w:r>
          </w:p>
        </w:tc>
        <w:tc>
          <w:tcPr>
            <w:tcW w:w="2200" w:type="dxa"/>
            <w:shd w:val="clear" w:fill="f1f5f9"/>
          </w:tcPr>
          <w:p>
            <w:pPr>
              <w:spacing w:before="60" w:after="60"/>
              <w:jc w:val="left"/>
            </w:pPr>
            <w:r>
              <w:rPr>
                <w:b/>
                <w:color w:val="0f172a"/>
                <w:sz w:val="20"/>
              </w:rPr>
              <w:t>Business Impact</w:t>
            </w:r>
          </w:p>
        </w:tc>
      </w:tr>
      <w:tr>
        <w:tc>
          <w:tcPr>
            <w:tcW w:w="2200" w:type="dxa"/>
          </w:tcPr>
          <w:p>
            <w:pPr>
              <w:spacing w:before="40" w:after="40"/>
              <w:jc w:val="left"/>
            </w:pPr>
            <w:r>
              <w:rPr>
                <w:color w:val="334155"/>
                <w:sz w:val="20"/>
              </w:rPr>
              <w:t>Underwriting data</w:t>
            </w:r>
          </w:p>
        </w:tc>
        <w:tc>
          <w:tcPr>
            <w:tcW w:w="2800" w:type="dxa"/>
          </w:tcPr>
          <w:p>
            <w:pPr>
              <w:spacing w:before="40" w:after="40"/>
              <w:jc w:val="left"/>
            </w:pPr>
            <w:r>
              <w:rPr>
                <w:color w:val="334155"/>
                <w:sz w:val="20"/>
              </w:rPr>
              <w:t>Static, external, incomplete</w:t>
            </w:r>
          </w:p>
        </w:tc>
        <w:tc>
          <w:tcPr>
            <w:tcW w:w="2800" w:type="dxa"/>
          </w:tcPr>
          <w:p>
            <w:pPr>
              <w:spacing w:before="40" w:after="40"/>
              <w:jc w:val="left"/>
            </w:pPr>
            <w:r>
              <w:rPr>
                <w:color w:val="334155"/>
                <w:sz w:val="20"/>
              </w:rPr>
              <w:t>Real-time marketplace transaction data</w:t>
            </w:r>
          </w:p>
        </w:tc>
        <w:tc>
          <w:tcPr>
            <w:tcW w:w="2200" w:type="dxa"/>
          </w:tcPr>
          <w:p>
            <w:pPr>
              <w:spacing w:before="40" w:after="40"/>
              <w:jc w:val="left"/>
            </w:pPr>
            <w:r>
              <w:rPr>
                <w:color w:val="334155"/>
                <w:sz w:val="20"/>
              </w:rPr>
              <w:t>Better risk assessment</w:t>
            </w:r>
          </w:p>
        </w:tc>
      </w:tr>
      <w:tr>
        <w:tc>
          <w:tcPr>
            <w:tcW w:w="2200" w:type="dxa"/>
          </w:tcPr>
          <w:p>
            <w:pPr>
              <w:spacing w:before="40" w:after="40"/>
              <w:jc w:val="left"/>
            </w:pPr>
            <w:r>
              <w:rPr>
                <w:color w:val="334155"/>
                <w:sz w:val="20"/>
              </w:rPr>
              <w:t>SME credit access</w:t>
            </w:r>
          </w:p>
        </w:tc>
        <w:tc>
          <w:tcPr>
            <w:tcW w:w="2800" w:type="dxa"/>
          </w:tcPr>
          <w:p>
            <w:pPr>
              <w:spacing w:before="40" w:after="40"/>
              <w:jc w:val="left"/>
            </w:pPr>
            <w:r>
              <w:rPr>
                <w:color w:val="334155"/>
                <w:sz w:val="20"/>
              </w:rPr>
              <w:t>Limited and slow</w:t>
            </w:r>
          </w:p>
        </w:tc>
        <w:tc>
          <w:tcPr>
            <w:tcW w:w="2800" w:type="dxa"/>
          </w:tcPr>
          <w:p>
            <w:pPr>
              <w:spacing w:before="40" w:after="40"/>
              <w:jc w:val="left"/>
            </w:pPr>
            <w:r>
              <w:rPr>
                <w:color w:val="334155"/>
                <w:sz w:val="20"/>
              </w:rPr>
              <w:t>Embedded offers inside commerce workflow</w:t>
            </w:r>
          </w:p>
        </w:tc>
        <w:tc>
          <w:tcPr>
            <w:tcW w:w="2200" w:type="dxa"/>
          </w:tcPr>
          <w:p>
            <w:pPr>
              <w:spacing w:before="40" w:after="40"/>
              <w:jc w:val="left"/>
            </w:pPr>
            <w:r>
              <w:rPr>
                <w:color w:val="334155"/>
                <w:sz w:val="20"/>
              </w:rPr>
              <w:t>Higher access and adoption</w:t>
            </w:r>
          </w:p>
        </w:tc>
      </w:tr>
      <w:tr>
        <w:tc>
          <w:tcPr>
            <w:tcW w:w="2200" w:type="dxa"/>
          </w:tcPr>
          <w:p>
            <w:pPr>
              <w:spacing w:before="40" w:after="40"/>
              <w:jc w:val="left"/>
            </w:pPr>
            <w:r>
              <w:rPr>
                <w:color w:val="334155"/>
                <w:sz w:val="20"/>
              </w:rPr>
              <w:t>Marketplace monetization</w:t>
            </w:r>
          </w:p>
        </w:tc>
        <w:tc>
          <w:tcPr>
            <w:tcW w:w="2800" w:type="dxa"/>
          </w:tcPr>
          <w:p>
            <w:pPr>
              <w:spacing w:before="40" w:after="40"/>
              <w:jc w:val="left"/>
            </w:pPr>
            <w:r>
              <w:rPr>
                <w:color w:val="334155"/>
                <w:sz w:val="20"/>
              </w:rPr>
              <w:t>Take rate or subscription only</w:t>
            </w:r>
          </w:p>
        </w:tc>
        <w:tc>
          <w:tcPr>
            <w:tcW w:w="2800" w:type="dxa"/>
          </w:tcPr>
          <w:p>
            <w:pPr>
              <w:spacing w:before="40" w:after="40"/>
              <w:jc w:val="left"/>
            </w:pPr>
            <w:r>
              <w:rPr>
                <w:color w:val="334155"/>
                <w:sz w:val="20"/>
              </w:rPr>
              <w:t>Lending, payments, insurance, FX revenue</w:t>
            </w:r>
          </w:p>
        </w:tc>
        <w:tc>
          <w:tcPr>
            <w:tcW w:w="2200" w:type="dxa"/>
          </w:tcPr>
          <w:p>
            <w:pPr>
              <w:spacing w:before="40" w:after="40"/>
              <w:jc w:val="left"/>
            </w:pPr>
            <w:r>
              <w:rPr>
                <w:color w:val="334155"/>
                <w:sz w:val="20"/>
              </w:rPr>
              <w:t>Multiple margin streams</w:t>
            </w:r>
          </w:p>
        </w:tc>
      </w:tr>
      <w:tr>
        <w:tc>
          <w:tcPr>
            <w:tcW w:w="2200" w:type="dxa"/>
          </w:tcPr>
          <w:p>
            <w:pPr>
              <w:spacing w:before="40" w:after="40"/>
              <w:jc w:val="left"/>
            </w:pPr>
            <w:r>
              <w:rPr>
                <w:color w:val="334155"/>
                <w:sz w:val="20"/>
              </w:rPr>
              <w:t>Investor analysis</w:t>
            </w:r>
          </w:p>
        </w:tc>
        <w:tc>
          <w:tcPr>
            <w:tcW w:w="2800" w:type="dxa"/>
          </w:tcPr>
          <w:p>
            <w:pPr>
              <w:spacing w:before="40" w:after="40"/>
              <w:jc w:val="left"/>
            </w:pPr>
            <w:r>
              <w:rPr>
                <w:color w:val="334155"/>
                <w:sz w:val="20"/>
              </w:rPr>
              <w:t>Broad fintech theme</w:t>
            </w:r>
          </w:p>
        </w:tc>
        <w:tc>
          <w:tcPr>
            <w:tcW w:w="2800" w:type="dxa"/>
          </w:tcPr>
          <w:p>
            <w:pPr>
              <w:spacing w:before="40" w:after="40"/>
              <w:jc w:val="left"/>
            </w:pPr>
            <w:r>
              <w:rPr>
                <w:color w:val="334155"/>
                <w:sz w:val="20"/>
              </w:rPr>
              <w:t>Structured market thesis and risk framework</w:t>
            </w:r>
          </w:p>
        </w:tc>
        <w:tc>
          <w:tcPr>
            <w:tcW w:w="2200" w:type="dxa"/>
          </w:tcPr>
          <w:p>
            <w:pPr>
              <w:spacing w:before="40" w:after="40"/>
              <w:jc w:val="left"/>
            </w:pPr>
            <w:r>
              <w:rPr>
                <w:color w:val="334155"/>
                <w:sz w:val="20"/>
              </w:rPr>
              <w:t>Better conviction and capital allocation</w:t>
            </w:r>
          </w:p>
        </w:tc>
      </w:tr>
      <w:tr>
        <w:tc>
          <w:tcPr>
            <w:tcW w:w="2200" w:type="dxa"/>
          </w:tcPr>
          <w:p>
            <w:pPr>
              <w:spacing w:before="40" w:after="40"/>
              <w:jc w:val="left"/>
            </w:pPr>
            <w:r>
              <w:rPr>
                <w:color w:val="334155"/>
                <w:sz w:val="20"/>
              </w:rPr>
              <w:t>Risk visibility</w:t>
            </w:r>
          </w:p>
        </w:tc>
        <w:tc>
          <w:tcPr>
            <w:tcW w:w="2800" w:type="dxa"/>
          </w:tcPr>
          <w:p>
            <w:pPr>
              <w:spacing w:before="40" w:after="40"/>
              <w:jc w:val="left"/>
            </w:pPr>
            <w:r>
              <w:rPr>
                <w:color w:val="334155"/>
                <w:sz w:val="20"/>
              </w:rPr>
              <w:t>Generic borrower profile</w:t>
            </w:r>
          </w:p>
        </w:tc>
        <w:tc>
          <w:tcPr>
            <w:tcW w:w="2800" w:type="dxa"/>
          </w:tcPr>
          <w:p>
            <w:pPr>
              <w:spacing w:before="40" w:after="40"/>
              <w:jc w:val="left"/>
            </w:pPr>
            <w:r>
              <w:rPr>
                <w:color w:val="334155"/>
                <w:sz w:val="20"/>
              </w:rPr>
              <w:t>Behavior-based underwriting model</w:t>
            </w:r>
          </w:p>
        </w:tc>
        <w:tc>
          <w:tcPr>
            <w:tcW w:w="2200" w:type="dxa"/>
          </w:tcPr>
          <w:p>
            <w:pPr>
              <w:spacing w:before="40" w:after="40"/>
              <w:jc w:val="left"/>
            </w:pPr>
            <w:r>
              <w:rPr>
                <w:color w:val="334155"/>
                <w:sz w:val="20"/>
              </w:rPr>
              <w:t>Higher approval quality</w:t>
            </w:r>
          </w:p>
        </w:tc>
      </w:tr>
      <w:tr>
        <w:tc>
          <w:tcPr>
            <w:tcW w:w="2200" w:type="dxa"/>
          </w:tcPr>
          <w:p>
            <w:pPr>
              <w:spacing w:before="40" w:after="40"/>
              <w:jc w:val="left"/>
            </w:pPr>
            <w:r>
              <w:rPr>
                <w:color w:val="334155"/>
                <w:sz w:val="20"/>
              </w:rPr>
              <w:t>Strategic defensibility</w:t>
            </w:r>
          </w:p>
        </w:tc>
        <w:tc>
          <w:tcPr>
            <w:tcW w:w="2800" w:type="dxa"/>
          </w:tcPr>
          <w:p>
            <w:pPr>
              <w:spacing w:before="40" w:after="40"/>
              <w:jc w:val="left"/>
            </w:pPr>
            <w:r>
              <w:rPr>
                <w:color w:val="334155"/>
                <w:sz w:val="20"/>
              </w:rPr>
              <w:t>Low financial-product differentiation</w:t>
            </w:r>
          </w:p>
        </w:tc>
        <w:tc>
          <w:tcPr>
            <w:tcW w:w="2800" w:type="dxa"/>
          </w:tcPr>
          <w:p>
            <w:pPr>
              <w:spacing w:before="40" w:after="40"/>
              <w:jc w:val="left"/>
            </w:pPr>
            <w:r>
              <w:rPr>
                <w:color w:val="334155"/>
                <w:sz w:val="20"/>
              </w:rPr>
              <w:t>Data moat tied to transaction workflow</w:t>
            </w:r>
          </w:p>
        </w:tc>
        <w:tc>
          <w:tcPr>
            <w:tcW w:w="2200" w:type="dxa"/>
          </w:tcPr>
          <w:p>
            <w:pPr>
              <w:spacing w:before="40" w:after="40"/>
              <w:jc w:val="left"/>
            </w:pPr>
            <w:r>
              <w:rPr>
                <w:color w:val="334155"/>
                <w:sz w:val="20"/>
              </w:rPr>
              <w:t>Stronger competitive advantage</w:t>
            </w:r>
          </w:p>
        </w:tc>
      </w:tr>
    </w:tbl>
    <w:p>
      <w:pPr>
        <w:spacing w:before="80" w:after="160"/>
      </w:pPr>
    </w:p>
    <w:p>
      <w:pPr>
        <w:pStyle w:val="Heading2"/>
      </w:pPr>
      <w:r>
        <w:t>Risk Controls and Governance</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800"/>
        <w:gridCol w:w="7200"/>
      </w:tblGrid>
      <w:tr>
        <w:trPr>
          <w:tblHeader/>
        </w:trPr>
        <w:tc>
          <w:tcPr>
            <w:tcW w:w="2800" w:type="dxa"/>
            <w:shd w:val="clear" w:fill="f1f5f9"/>
          </w:tcPr>
          <w:p>
            <w:pPr>
              <w:spacing w:before="60" w:after="60"/>
              <w:jc w:val="left"/>
            </w:pPr>
            <w:r>
              <w:rPr>
                <w:b/>
                <w:color w:val="0f172a"/>
                <w:sz w:val="20"/>
              </w:rPr>
              <w:t>Risk Area</w:t>
            </w:r>
          </w:p>
        </w:tc>
        <w:tc>
          <w:tcPr>
            <w:tcW w:w="7200" w:type="dxa"/>
            <w:shd w:val="clear" w:fill="f1f5f9"/>
          </w:tcPr>
          <w:p>
            <w:pPr>
              <w:spacing w:before="60" w:after="60"/>
              <w:jc w:val="left"/>
            </w:pPr>
            <w:r>
              <w:rPr>
                <w:b/>
                <w:color w:val="0f172a"/>
                <w:sz w:val="20"/>
              </w:rPr>
              <w:t>Governance Design</w:t>
            </w:r>
          </w:p>
        </w:tc>
      </w:tr>
      <w:tr>
        <w:tc>
          <w:tcPr>
            <w:tcW w:w="2800" w:type="dxa"/>
          </w:tcPr>
          <w:p>
            <w:pPr>
              <w:spacing w:before="40" w:after="40"/>
              <w:jc w:val="left"/>
            </w:pPr>
            <w:r>
              <w:rPr>
                <w:color w:val="334155"/>
                <w:sz w:val="20"/>
              </w:rPr>
              <w:t>Credit risk</w:t>
            </w:r>
          </w:p>
        </w:tc>
        <w:tc>
          <w:tcPr>
            <w:tcW w:w="7200" w:type="dxa"/>
          </w:tcPr>
          <w:p>
            <w:pPr>
              <w:spacing w:before="40" w:after="40"/>
              <w:jc w:val="left"/>
            </w:pPr>
            <w:r>
              <w:rPr>
                <w:color w:val="334155"/>
                <w:sz w:val="20"/>
              </w:rPr>
              <w:t>Scorecards based on transaction behavior, supplier reliability, repayment signals, and exposure limits</w:t>
            </w:r>
          </w:p>
        </w:tc>
      </w:tr>
      <w:tr>
        <w:tc>
          <w:tcPr>
            <w:tcW w:w="2800" w:type="dxa"/>
          </w:tcPr>
          <w:p>
            <w:pPr>
              <w:spacing w:before="40" w:after="40"/>
              <w:jc w:val="left"/>
            </w:pPr>
            <w:r>
              <w:rPr>
                <w:color w:val="334155"/>
                <w:sz w:val="20"/>
              </w:rPr>
              <w:t>Regulatory risk</w:t>
            </w:r>
          </w:p>
        </w:tc>
        <w:tc>
          <w:tcPr>
            <w:tcW w:w="7200" w:type="dxa"/>
          </w:tcPr>
          <w:p>
            <w:pPr>
              <w:spacing w:before="40" w:after="40"/>
              <w:jc w:val="left"/>
            </w:pPr>
            <w:r>
              <w:rPr>
                <w:color w:val="334155"/>
                <w:sz w:val="20"/>
              </w:rPr>
              <w:t>Local licensing review, partner-bank model assessment, data privacy controls, and disclosure requirements</w:t>
            </w:r>
          </w:p>
        </w:tc>
      </w:tr>
      <w:tr>
        <w:tc>
          <w:tcPr>
            <w:tcW w:w="2800" w:type="dxa"/>
          </w:tcPr>
          <w:p>
            <w:pPr>
              <w:spacing w:before="40" w:after="40"/>
              <w:jc w:val="left"/>
            </w:pPr>
            <w:r>
              <w:rPr>
                <w:color w:val="334155"/>
                <w:sz w:val="20"/>
              </w:rPr>
              <w:t>Data quality risk</w:t>
            </w:r>
          </w:p>
        </w:tc>
        <w:tc>
          <w:tcPr>
            <w:tcW w:w="7200" w:type="dxa"/>
          </w:tcPr>
          <w:p>
            <w:pPr>
              <w:spacing w:before="40" w:after="40"/>
              <w:jc w:val="left"/>
            </w:pPr>
            <w:r>
              <w:rPr>
                <w:color w:val="334155"/>
                <w:sz w:val="20"/>
              </w:rPr>
              <w:t>Validation of transaction integrity, anomaly detection, and fraud checks</w:t>
            </w:r>
          </w:p>
        </w:tc>
      </w:tr>
      <w:tr>
        <w:tc>
          <w:tcPr>
            <w:tcW w:w="2800" w:type="dxa"/>
          </w:tcPr>
          <w:p>
            <w:pPr>
              <w:spacing w:before="40" w:after="40"/>
              <w:jc w:val="left"/>
            </w:pPr>
            <w:r>
              <w:rPr>
                <w:color w:val="334155"/>
                <w:sz w:val="20"/>
              </w:rPr>
              <w:t>Model risk</w:t>
            </w:r>
          </w:p>
        </w:tc>
        <w:tc>
          <w:tcPr>
            <w:tcW w:w="7200" w:type="dxa"/>
          </w:tcPr>
          <w:p>
            <w:pPr>
              <w:spacing w:before="40" w:after="40"/>
              <w:jc w:val="left"/>
            </w:pPr>
            <w:r>
              <w:rPr>
                <w:color w:val="334155"/>
                <w:sz w:val="20"/>
              </w:rPr>
              <w:t>Human review for outlier cases, periodic back-testing, and conservative initial thresholds</w:t>
            </w:r>
          </w:p>
        </w:tc>
      </w:tr>
      <w:tr>
        <w:tc>
          <w:tcPr>
            <w:tcW w:w="2800" w:type="dxa"/>
          </w:tcPr>
          <w:p>
            <w:pPr>
              <w:spacing w:before="40" w:after="40"/>
              <w:jc w:val="left"/>
            </w:pPr>
            <w:r>
              <w:rPr>
                <w:color w:val="334155"/>
                <w:sz w:val="20"/>
              </w:rPr>
              <w:t>Concentration risk</w:t>
            </w:r>
          </w:p>
        </w:tc>
        <w:tc>
          <w:tcPr>
            <w:tcW w:w="7200" w:type="dxa"/>
          </w:tcPr>
          <w:p>
            <w:pPr>
              <w:spacing w:before="40" w:after="40"/>
              <w:jc w:val="left"/>
            </w:pPr>
            <w:r>
              <w:rPr>
                <w:color w:val="334155"/>
                <w:sz w:val="20"/>
              </w:rPr>
              <w:t>Limits by sector, geography, supplier concentration, and borrower exposure</w:t>
            </w:r>
          </w:p>
        </w:tc>
      </w:tr>
      <w:tr>
        <w:tc>
          <w:tcPr>
            <w:tcW w:w="2800" w:type="dxa"/>
          </w:tcPr>
          <w:p>
            <w:pPr>
              <w:spacing w:before="40" w:after="40"/>
              <w:jc w:val="left"/>
            </w:pPr>
            <w:r>
              <w:rPr>
                <w:color w:val="334155"/>
                <w:sz w:val="20"/>
              </w:rPr>
              <w:t>Operational risk</w:t>
            </w:r>
          </w:p>
        </w:tc>
        <w:tc>
          <w:tcPr>
            <w:tcW w:w="7200" w:type="dxa"/>
          </w:tcPr>
          <w:p>
            <w:pPr>
              <w:spacing w:before="40" w:after="40"/>
              <w:jc w:val="left"/>
            </w:pPr>
            <w:r>
              <w:rPr>
                <w:color w:val="334155"/>
                <w:sz w:val="20"/>
              </w:rPr>
              <w:t>Clear ownership across marketplace, lending partner, collections, and customer support</w:t>
            </w:r>
          </w:p>
        </w:tc>
      </w:tr>
      <w:tr>
        <w:tc>
          <w:tcPr>
            <w:tcW w:w="2800" w:type="dxa"/>
          </w:tcPr>
          <w:p>
            <w:pPr>
              <w:spacing w:before="40" w:after="40"/>
              <w:jc w:val="left"/>
            </w:pPr>
            <w:r>
              <w:rPr>
                <w:color w:val="334155"/>
                <w:sz w:val="20"/>
              </w:rPr>
              <w:t>Investment risk</w:t>
            </w:r>
          </w:p>
        </w:tc>
        <w:tc>
          <w:tcPr>
            <w:tcW w:w="7200" w:type="dxa"/>
          </w:tcPr>
          <w:p>
            <w:pPr>
              <w:spacing w:before="40" w:after="40"/>
              <w:jc w:val="left"/>
            </w:pPr>
            <w:r>
              <w:rPr>
                <w:color w:val="334155"/>
                <w:sz w:val="20"/>
              </w:rPr>
              <w:t>Scenario modeling for base, downside, and upside cases</w:t>
            </w:r>
          </w:p>
        </w:tc>
      </w:tr>
    </w:tbl>
    <w:p>
      <w:pPr>
        <w:spacing w:before="80" w:after="160"/>
      </w:pPr>
    </w:p>
    <w:p>
      <w:pPr>
        <w:pStyle w:val="Heading2"/>
      </w:pPr>
      <w:r>
        <w:t>Metrics and Expected Impact</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4000"/>
        <w:gridCol w:w="6000"/>
      </w:tblGrid>
      <w:tr>
        <w:trPr>
          <w:tblHeader/>
        </w:trPr>
        <w:tc>
          <w:tcPr>
            <w:tcW w:w="4000" w:type="dxa"/>
            <w:shd w:val="clear" w:fill="f1f5f9"/>
          </w:tcPr>
          <w:p>
            <w:pPr>
              <w:spacing w:before="60" w:after="60"/>
              <w:jc w:val="left"/>
            </w:pPr>
            <w:r>
              <w:rPr>
                <w:b/>
                <w:color w:val="0f172a"/>
                <w:sz w:val="20"/>
              </w:rPr>
              <w:t>KPI</w:t>
            </w:r>
          </w:p>
        </w:tc>
        <w:tc>
          <w:tcPr>
            <w:tcW w:w="6000" w:type="dxa"/>
            <w:shd w:val="clear" w:fill="f1f5f9"/>
          </w:tcPr>
          <w:p>
            <w:pPr>
              <w:spacing w:before="60" w:after="60"/>
              <w:jc w:val="left"/>
            </w:pPr>
            <w:r>
              <w:rPr>
                <w:b/>
                <w:color w:val="0f172a"/>
                <w:sz w:val="20"/>
              </w:rPr>
              <w:t>Projected Impact</w:t>
            </w:r>
          </w:p>
        </w:tc>
      </w:tr>
      <w:tr>
        <w:tc>
          <w:tcPr>
            <w:tcW w:w="4000" w:type="dxa"/>
          </w:tcPr>
          <w:p>
            <w:pPr>
              <w:spacing w:before="40" w:after="40"/>
              <w:jc w:val="left"/>
            </w:pPr>
            <w:r>
              <w:rPr>
                <w:color w:val="334155"/>
                <w:sz w:val="20"/>
              </w:rPr>
              <w:t>Addressable opportunity</w:t>
            </w:r>
          </w:p>
        </w:tc>
        <w:tc>
          <w:tcPr>
            <w:tcW w:w="6000" w:type="dxa"/>
          </w:tcPr>
          <w:p>
            <w:pPr>
              <w:spacing w:before="40" w:after="40"/>
              <w:jc w:val="left"/>
            </w:pPr>
            <w:r>
              <w:rPr>
                <w:color w:val="334155"/>
                <w:sz w:val="20"/>
              </w:rPr>
              <w:t>Multi-billion-dollar TAM with focused initial serviceable market</w:t>
            </w:r>
          </w:p>
        </w:tc>
      </w:tr>
      <w:tr>
        <w:tc>
          <w:tcPr>
            <w:tcW w:w="4000" w:type="dxa"/>
          </w:tcPr>
          <w:p>
            <w:pPr>
              <w:spacing w:before="40" w:after="40"/>
              <w:jc w:val="left"/>
            </w:pPr>
            <w:r>
              <w:rPr>
                <w:color w:val="334155"/>
                <w:sz w:val="20"/>
              </w:rPr>
              <w:t>Gross MOIC potential</w:t>
            </w:r>
          </w:p>
        </w:tc>
        <w:tc>
          <w:tcPr>
            <w:tcW w:w="6000" w:type="dxa"/>
          </w:tcPr>
          <w:p>
            <w:pPr>
              <w:spacing w:before="40" w:after="40"/>
              <w:jc w:val="left"/>
            </w:pPr>
            <w:r>
              <w:rPr>
                <w:color w:val="334155"/>
                <w:sz w:val="20"/>
              </w:rPr>
              <w:t>7-11x target range for high-conviction winners</w:t>
            </w:r>
          </w:p>
        </w:tc>
      </w:tr>
      <w:tr>
        <w:tc>
          <w:tcPr>
            <w:tcW w:w="4000" w:type="dxa"/>
          </w:tcPr>
          <w:p>
            <w:pPr>
              <w:spacing w:before="40" w:after="40"/>
              <w:jc w:val="left"/>
            </w:pPr>
            <w:r>
              <w:rPr>
                <w:color w:val="334155"/>
                <w:sz w:val="20"/>
              </w:rPr>
              <w:t>Financial margin expansion</w:t>
            </w:r>
          </w:p>
        </w:tc>
        <w:tc>
          <w:tcPr>
            <w:tcW w:w="6000" w:type="dxa"/>
          </w:tcPr>
          <w:p>
            <w:pPr>
              <w:spacing w:before="40" w:after="40"/>
              <w:jc w:val="left"/>
            </w:pPr>
            <w:r>
              <w:rPr>
                <w:color w:val="334155"/>
                <w:sz w:val="20"/>
              </w:rPr>
              <w:t>Incremental margin from lending, payments, insurance, and FX layers</w:t>
            </w:r>
          </w:p>
        </w:tc>
      </w:tr>
      <w:tr>
        <w:tc>
          <w:tcPr>
            <w:tcW w:w="4000" w:type="dxa"/>
          </w:tcPr>
          <w:p>
            <w:pPr>
              <w:spacing w:before="40" w:after="40"/>
              <w:jc w:val="left"/>
            </w:pPr>
            <w:r>
              <w:rPr>
                <w:color w:val="334155"/>
                <w:sz w:val="20"/>
              </w:rPr>
              <w:t>Credit approval quality</w:t>
            </w:r>
          </w:p>
        </w:tc>
        <w:tc>
          <w:tcPr>
            <w:tcW w:w="6000" w:type="dxa"/>
          </w:tcPr>
          <w:p>
            <w:pPr>
              <w:spacing w:before="40" w:after="40"/>
              <w:jc w:val="left"/>
            </w:pPr>
            <w:r>
              <w:rPr>
                <w:color w:val="334155"/>
                <w:sz w:val="20"/>
              </w:rPr>
              <w:t>Higher-quality approvals from real-time operating data</w:t>
            </w:r>
          </w:p>
        </w:tc>
      </w:tr>
      <w:tr>
        <w:tc>
          <w:tcPr>
            <w:tcW w:w="4000" w:type="dxa"/>
          </w:tcPr>
          <w:p>
            <w:pPr>
              <w:spacing w:before="40" w:after="40"/>
              <w:jc w:val="left"/>
            </w:pPr>
            <w:r>
              <w:rPr>
                <w:color w:val="334155"/>
                <w:sz w:val="20"/>
              </w:rPr>
              <w:t>SME access to finance</w:t>
            </w:r>
          </w:p>
        </w:tc>
        <w:tc>
          <w:tcPr>
            <w:tcW w:w="6000" w:type="dxa"/>
          </w:tcPr>
          <w:p>
            <w:pPr>
              <w:spacing w:before="40" w:after="40"/>
              <w:jc w:val="left"/>
            </w:pPr>
            <w:r>
              <w:rPr>
                <w:color w:val="334155"/>
                <w:sz w:val="20"/>
              </w:rPr>
              <w:t>Faster and more relevant credit offers</w:t>
            </w:r>
          </w:p>
        </w:tc>
      </w:tr>
      <w:tr>
        <w:tc>
          <w:tcPr>
            <w:tcW w:w="4000" w:type="dxa"/>
          </w:tcPr>
          <w:p>
            <w:pPr>
              <w:spacing w:before="40" w:after="40"/>
              <w:jc w:val="left"/>
            </w:pPr>
            <w:r>
              <w:rPr>
                <w:color w:val="334155"/>
                <w:sz w:val="20"/>
              </w:rPr>
              <w:t>Marketplace revenue diversification</w:t>
            </w:r>
          </w:p>
        </w:tc>
        <w:tc>
          <w:tcPr>
            <w:tcW w:w="6000" w:type="dxa"/>
          </w:tcPr>
          <w:p>
            <w:pPr>
              <w:spacing w:before="40" w:after="40"/>
              <w:jc w:val="left"/>
            </w:pPr>
            <w:r>
              <w:rPr>
                <w:color w:val="334155"/>
                <w:sz w:val="20"/>
              </w:rPr>
              <w:t>Reduced dependence on pure commerce take rate</w:t>
            </w:r>
          </w:p>
        </w:tc>
      </w:tr>
      <w:tr>
        <w:tc>
          <w:tcPr>
            <w:tcW w:w="4000" w:type="dxa"/>
          </w:tcPr>
          <w:p>
            <w:pPr>
              <w:spacing w:before="40" w:after="40"/>
              <w:jc w:val="left"/>
            </w:pPr>
            <w:r>
              <w:rPr>
                <w:color w:val="334155"/>
                <w:sz w:val="20"/>
              </w:rPr>
              <w:t>Investor decision speed</w:t>
            </w:r>
          </w:p>
        </w:tc>
        <w:tc>
          <w:tcPr>
            <w:tcW w:w="6000" w:type="dxa"/>
          </w:tcPr>
          <w:p>
            <w:pPr>
              <w:spacing w:before="40" w:after="40"/>
              <w:jc w:val="left"/>
            </w:pPr>
            <w:r>
              <w:rPr>
                <w:color w:val="334155"/>
                <w:sz w:val="20"/>
              </w:rPr>
              <w:t>Clearer conviction through structured thesis and risk architecture</w:t>
            </w:r>
          </w:p>
        </w:tc>
      </w:tr>
    </w:tbl>
    <w:p>
      <w:pPr>
        <w:spacing w:before="80" w:after="160"/>
      </w:pPr>
    </w:p>
    <w:p>
      <w:pPr>
        <w:pStyle w:val="Heading2"/>
      </w:pPr>
      <w:r>
        <w:t>Deliverables</w:t>
      </w:r>
    </w:p>
    <w:p>
      <w:pPr>
        <w:ind w:left="720"/>
      </w:pPr>
      <w:r>
        <w:t>• Embedded finance investment memo</w:t>
      </w:r>
    </w:p>
    <w:p>
      <w:pPr>
        <w:ind w:left="720"/>
      </w:pPr>
      <w:r>
        <w:t>• LatAm market thesis</w:t>
      </w:r>
    </w:p>
    <w:p>
      <w:pPr>
        <w:ind w:left="720"/>
      </w:pPr>
      <w:r>
        <w:t>• TAM/SAM/SOM opportunity model</w:t>
      </w:r>
    </w:p>
    <w:p>
      <w:pPr>
        <w:ind w:left="720"/>
      </w:pPr>
      <w:r>
        <w:t>• Marketplace data-moat framework</w:t>
      </w:r>
    </w:p>
    <w:p>
      <w:pPr>
        <w:ind w:left="720"/>
      </w:pPr>
      <w:r>
        <w:t>• Revenue architecture by financial product</w:t>
      </w:r>
    </w:p>
    <w:p>
      <w:pPr>
        <w:ind w:left="720"/>
      </w:pPr>
      <w:r>
        <w:t>• Risk assessment matrix</w:t>
      </w:r>
    </w:p>
    <w:p>
      <w:pPr>
        <w:ind w:left="720"/>
      </w:pPr>
      <w:r>
        <w:t>• Timing window analysis</w:t>
      </w:r>
    </w:p>
    <w:p>
      <w:pPr>
        <w:ind w:left="720"/>
      </w:pPr>
      <w:r>
        <w:t>• Investor-ready executive narrative</w:t>
      </w:r>
    </w:p>
    <w:p>
      <w:pPr>
        <w:ind w:left="720"/>
      </w:pPr>
      <w:r>
        <w:t>• Due diligence checklist</w:t>
      </w:r>
    </w:p>
    <w:p>
      <w:pPr>
        <w:ind w:left="720"/>
      </w:pPr>
      <w:r>
        <w:t>• Portfolio opportunity summary</w:t>
      </w:r>
    </w:p>
    <w:p>
      <w:pPr>
        <w:pStyle w:val="Heading2"/>
      </w:pPr>
      <w:r>
        <w:t>Tools and Methods</w:t>
      </w:r>
    </w:p>
    <w:p>
      <w:r>
        <w:t>PowerPoint for investment memo structure; Excel for market sizing and scenario analysis; Miro for ecosystem and workflow mapping; Figma for visual system and thesis layout; Notion for research synthesis; ChatGPT or AI-assisted research for market pattern exploration; bottom-up and top-down market sizing; competitive landscape mapping; unit economics analysis; risk matrix design; investment thesis writing.</w:t>
      </w:r>
    </w:p>
    <w:p>
      <w:pPr>
        <w:pStyle w:val="Heading2"/>
      </w:pPr>
      <w:r>
        <w:t>Implementation Roadmap</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1600"/>
        <w:gridCol w:w="2200"/>
        <w:gridCol w:w="2400"/>
        <w:gridCol w:w="2200"/>
        <w:gridCol w:w="1600"/>
      </w:tblGrid>
      <w:tr>
        <w:trPr>
          <w:tblHeader/>
        </w:trPr>
        <w:tc>
          <w:tcPr>
            <w:tcW w:w="1600" w:type="dxa"/>
            <w:shd w:val="clear" w:fill="f1f5f9"/>
          </w:tcPr>
          <w:p>
            <w:pPr>
              <w:spacing w:before="60" w:after="60"/>
              <w:jc w:val="left"/>
            </w:pPr>
            <w:r>
              <w:rPr>
                <w:b/>
                <w:color w:val="0f172a"/>
                <w:sz w:val="20"/>
              </w:rPr>
              <w:t>Phase</w:t>
            </w:r>
          </w:p>
        </w:tc>
        <w:tc>
          <w:tcPr>
            <w:tcW w:w="2200" w:type="dxa"/>
            <w:shd w:val="clear" w:fill="f1f5f9"/>
          </w:tcPr>
          <w:p>
            <w:pPr>
              <w:spacing w:before="60" w:after="60"/>
              <w:jc w:val="left"/>
            </w:pPr>
            <w:r>
              <w:rPr>
                <w:b/>
                <w:color w:val="0f172a"/>
                <w:sz w:val="20"/>
              </w:rPr>
              <w:t>Objective</w:t>
            </w:r>
          </w:p>
        </w:tc>
        <w:tc>
          <w:tcPr>
            <w:tcW w:w="2400" w:type="dxa"/>
            <w:shd w:val="clear" w:fill="f1f5f9"/>
          </w:tcPr>
          <w:p>
            <w:pPr>
              <w:spacing w:before="60" w:after="60"/>
              <w:jc w:val="left"/>
            </w:pPr>
            <w:r>
              <w:rPr>
                <w:b/>
                <w:color w:val="0f172a"/>
                <w:sz w:val="20"/>
              </w:rPr>
              <w:t>Key Activities</w:t>
            </w:r>
          </w:p>
        </w:tc>
        <w:tc>
          <w:tcPr>
            <w:tcW w:w="2200" w:type="dxa"/>
            <w:shd w:val="clear" w:fill="f1f5f9"/>
          </w:tcPr>
          <w:p>
            <w:pPr>
              <w:spacing w:before="60" w:after="60"/>
              <w:jc w:val="left"/>
            </w:pPr>
            <w:r>
              <w:rPr>
                <w:b/>
                <w:color w:val="0f172a"/>
                <w:sz w:val="20"/>
              </w:rPr>
              <w:t>Deliverables</w:t>
            </w:r>
          </w:p>
        </w:tc>
        <w:tc>
          <w:tcPr>
            <w:tcW w:w="1600" w:type="dxa"/>
            <w:shd w:val="clear" w:fill="f1f5f9"/>
          </w:tcPr>
          <w:p>
            <w:pPr>
              <w:spacing w:before="60" w:after="60"/>
              <w:jc w:val="left"/>
            </w:pPr>
            <w:r>
              <w:rPr>
                <w:b/>
                <w:color w:val="0f172a"/>
                <w:sz w:val="20"/>
              </w:rPr>
              <w:t>Timeline</w:t>
            </w:r>
          </w:p>
        </w:tc>
      </w:tr>
      <w:tr>
        <w:tc>
          <w:tcPr>
            <w:tcW w:w="1600" w:type="dxa"/>
          </w:tcPr>
          <w:p>
            <w:pPr>
              <w:spacing w:before="40" w:after="40"/>
              <w:jc w:val="left"/>
            </w:pPr>
            <w:r>
              <w:rPr>
                <w:color w:val="334155"/>
                <w:sz w:val="20"/>
              </w:rPr>
              <w:t>1. Market Scan</w:t>
            </w:r>
          </w:p>
        </w:tc>
        <w:tc>
          <w:tcPr>
            <w:tcW w:w="2200" w:type="dxa"/>
          </w:tcPr>
          <w:p>
            <w:pPr>
              <w:spacing w:before="40" w:after="40"/>
              <w:jc w:val="left"/>
            </w:pPr>
            <w:r>
              <w:rPr>
                <w:color w:val="334155"/>
                <w:sz w:val="20"/>
              </w:rPr>
              <w:t>Establish opportunity landscape</w:t>
            </w:r>
          </w:p>
        </w:tc>
        <w:tc>
          <w:tcPr>
            <w:tcW w:w="2400" w:type="dxa"/>
          </w:tcPr>
          <w:p>
            <w:pPr>
              <w:spacing w:before="40" w:after="40"/>
              <w:jc w:val="left"/>
            </w:pPr>
            <w:r>
              <w:rPr>
                <w:color w:val="334155"/>
                <w:sz w:val="20"/>
              </w:rPr>
              <w:t>Review SME credit gap, marketplace adoption, fintech infrastructure, and regulatory context</w:t>
            </w:r>
          </w:p>
        </w:tc>
        <w:tc>
          <w:tcPr>
            <w:tcW w:w="2200" w:type="dxa"/>
          </w:tcPr>
          <w:p>
            <w:pPr>
              <w:spacing w:before="40" w:after="40"/>
              <w:jc w:val="left"/>
            </w:pPr>
            <w:r>
              <w:rPr>
                <w:color w:val="334155"/>
                <w:sz w:val="20"/>
              </w:rPr>
              <w:t>Market scan summary</w:t>
            </w:r>
          </w:p>
        </w:tc>
        <w:tc>
          <w:tcPr>
            <w:tcW w:w="1600" w:type="dxa"/>
          </w:tcPr>
          <w:p>
            <w:pPr>
              <w:spacing w:before="40" w:after="40"/>
              <w:jc w:val="left"/>
            </w:pPr>
            <w:r>
              <w:rPr>
                <w:color w:val="334155"/>
                <w:sz w:val="20"/>
              </w:rPr>
              <w:t>1-2 weeks</w:t>
            </w:r>
          </w:p>
        </w:tc>
      </w:tr>
      <w:tr>
        <w:tc>
          <w:tcPr>
            <w:tcW w:w="1600" w:type="dxa"/>
          </w:tcPr>
          <w:p>
            <w:pPr>
              <w:spacing w:before="40" w:after="40"/>
              <w:jc w:val="left"/>
            </w:pPr>
            <w:r>
              <w:rPr>
                <w:color w:val="334155"/>
                <w:sz w:val="20"/>
              </w:rPr>
              <w:t>2. Thesis Development</w:t>
            </w:r>
          </w:p>
        </w:tc>
        <w:tc>
          <w:tcPr>
            <w:tcW w:w="2200" w:type="dxa"/>
          </w:tcPr>
          <w:p>
            <w:pPr>
              <w:spacing w:before="40" w:after="40"/>
              <w:jc w:val="left"/>
            </w:pPr>
            <w:r>
              <w:rPr>
                <w:color w:val="334155"/>
                <w:sz w:val="20"/>
              </w:rPr>
              <w:t>Define why this opportunity matters now</w:t>
            </w:r>
          </w:p>
        </w:tc>
        <w:tc>
          <w:tcPr>
            <w:tcW w:w="2400" w:type="dxa"/>
          </w:tcPr>
          <w:p>
            <w:pPr>
              <w:spacing w:before="40" w:after="40"/>
              <w:jc w:val="left"/>
            </w:pPr>
            <w:r>
              <w:rPr>
                <w:color w:val="334155"/>
                <w:sz w:val="20"/>
              </w:rPr>
              <w:t>Build thesis, timing logic, and data advantage model</w:t>
            </w:r>
          </w:p>
        </w:tc>
        <w:tc>
          <w:tcPr>
            <w:tcW w:w="2200" w:type="dxa"/>
          </w:tcPr>
          <w:p>
            <w:pPr>
              <w:spacing w:before="40" w:after="40"/>
              <w:jc w:val="left"/>
            </w:pPr>
            <w:r>
              <w:rPr>
                <w:color w:val="334155"/>
                <w:sz w:val="20"/>
              </w:rPr>
              <w:t>Investment thesis memo</w:t>
            </w:r>
          </w:p>
        </w:tc>
        <w:tc>
          <w:tcPr>
            <w:tcW w:w="1600" w:type="dxa"/>
          </w:tcPr>
          <w:p>
            <w:pPr>
              <w:spacing w:before="40" w:after="40"/>
              <w:jc w:val="left"/>
            </w:pPr>
            <w:r>
              <w:rPr>
                <w:color w:val="334155"/>
                <w:sz w:val="20"/>
              </w:rPr>
              <w:t>2 weeks</w:t>
            </w:r>
          </w:p>
        </w:tc>
      </w:tr>
      <w:tr>
        <w:tc>
          <w:tcPr>
            <w:tcW w:w="1600" w:type="dxa"/>
          </w:tcPr>
          <w:p>
            <w:pPr>
              <w:spacing w:before="40" w:after="40"/>
              <w:jc w:val="left"/>
            </w:pPr>
            <w:r>
              <w:rPr>
                <w:color w:val="334155"/>
                <w:sz w:val="20"/>
              </w:rPr>
              <w:t>3. Market Sizing</w:t>
            </w:r>
          </w:p>
        </w:tc>
        <w:tc>
          <w:tcPr>
            <w:tcW w:w="2200" w:type="dxa"/>
          </w:tcPr>
          <w:p>
            <w:pPr>
              <w:spacing w:before="40" w:after="40"/>
              <w:jc w:val="left"/>
            </w:pPr>
            <w:r>
              <w:rPr>
                <w:color w:val="334155"/>
                <w:sz w:val="20"/>
              </w:rPr>
              <w:t>Quantify opportunity</w:t>
            </w:r>
          </w:p>
        </w:tc>
        <w:tc>
          <w:tcPr>
            <w:tcW w:w="2400" w:type="dxa"/>
          </w:tcPr>
          <w:p>
            <w:pPr>
              <w:spacing w:before="40" w:after="40"/>
              <w:jc w:val="left"/>
            </w:pPr>
            <w:r>
              <w:rPr>
                <w:color w:val="334155"/>
                <w:sz w:val="20"/>
              </w:rPr>
              <w:t>Model TAM, SAM, SOM, margin pools, and scenarios</w:t>
            </w:r>
          </w:p>
        </w:tc>
        <w:tc>
          <w:tcPr>
            <w:tcW w:w="2200" w:type="dxa"/>
          </w:tcPr>
          <w:p>
            <w:pPr>
              <w:spacing w:before="40" w:after="40"/>
              <w:jc w:val="left"/>
            </w:pPr>
            <w:r>
              <w:rPr>
                <w:color w:val="334155"/>
                <w:sz w:val="20"/>
              </w:rPr>
              <w:t>Market sizing model</w:t>
            </w:r>
          </w:p>
        </w:tc>
        <w:tc>
          <w:tcPr>
            <w:tcW w:w="1600" w:type="dxa"/>
          </w:tcPr>
          <w:p>
            <w:pPr>
              <w:spacing w:before="40" w:after="40"/>
              <w:jc w:val="left"/>
            </w:pPr>
            <w:r>
              <w:rPr>
                <w:color w:val="334155"/>
                <w:sz w:val="20"/>
              </w:rPr>
              <w:t>1-2 weeks</w:t>
            </w:r>
          </w:p>
        </w:tc>
      </w:tr>
      <w:tr>
        <w:tc>
          <w:tcPr>
            <w:tcW w:w="1600" w:type="dxa"/>
          </w:tcPr>
          <w:p>
            <w:pPr>
              <w:spacing w:before="40" w:after="40"/>
              <w:jc w:val="left"/>
            </w:pPr>
            <w:r>
              <w:rPr>
                <w:color w:val="334155"/>
                <w:sz w:val="20"/>
              </w:rPr>
              <w:t>4. Risk and Diligence</w:t>
            </w:r>
          </w:p>
        </w:tc>
        <w:tc>
          <w:tcPr>
            <w:tcW w:w="2200" w:type="dxa"/>
          </w:tcPr>
          <w:p>
            <w:pPr>
              <w:spacing w:before="40" w:after="40"/>
              <w:jc w:val="left"/>
            </w:pPr>
            <w:r>
              <w:rPr>
                <w:color w:val="334155"/>
                <w:sz w:val="20"/>
              </w:rPr>
              <w:t>Test conviction against risk</w:t>
            </w:r>
          </w:p>
        </w:tc>
        <w:tc>
          <w:tcPr>
            <w:tcW w:w="2400" w:type="dxa"/>
          </w:tcPr>
          <w:p>
            <w:pPr>
              <w:spacing w:before="40" w:after="40"/>
              <w:jc w:val="left"/>
            </w:pPr>
            <w:r>
              <w:rPr>
                <w:color w:val="334155"/>
                <w:sz w:val="20"/>
              </w:rPr>
              <w:t>Build risk matrix, diligence checklist, and mitigants</w:t>
            </w:r>
          </w:p>
        </w:tc>
        <w:tc>
          <w:tcPr>
            <w:tcW w:w="2200" w:type="dxa"/>
          </w:tcPr>
          <w:p>
            <w:pPr>
              <w:spacing w:before="40" w:after="40"/>
              <w:jc w:val="left"/>
            </w:pPr>
            <w:r>
              <w:rPr>
                <w:color w:val="334155"/>
                <w:sz w:val="20"/>
              </w:rPr>
              <w:t>Risk architecture and DD plan</w:t>
            </w:r>
          </w:p>
        </w:tc>
        <w:tc>
          <w:tcPr>
            <w:tcW w:w="1600" w:type="dxa"/>
          </w:tcPr>
          <w:p>
            <w:pPr>
              <w:spacing w:before="40" w:after="40"/>
              <w:jc w:val="left"/>
            </w:pPr>
            <w:r>
              <w:rPr>
                <w:color w:val="334155"/>
                <w:sz w:val="20"/>
              </w:rPr>
              <w:t>1-2 weeks</w:t>
            </w:r>
          </w:p>
        </w:tc>
      </w:tr>
      <w:tr>
        <w:tc>
          <w:tcPr>
            <w:tcW w:w="1600" w:type="dxa"/>
          </w:tcPr>
          <w:p>
            <w:pPr>
              <w:spacing w:before="40" w:after="40"/>
              <w:jc w:val="left"/>
            </w:pPr>
            <w:r>
              <w:rPr>
                <w:color w:val="334155"/>
                <w:sz w:val="20"/>
              </w:rPr>
              <w:t>5. Decision Support</w:t>
            </w:r>
          </w:p>
        </w:tc>
        <w:tc>
          <w:tcPr>
            <w:tcW w:w="2200" w:type="dxa"/>
          </w:tcPr>
          <w:p>
            <w:pPr>
              <w:spacing w:before="40" w:after="40"/>
              <w:jc w:val="left"/>
            </w:pPr>
            <w:r>
              <w:rPr>
                <w:color w:val="334155"/>
                <w:sz w:val="20"/>
              </w:rPr>
              <w:t>Package decision-ready output</w:t>
            </w:r>
          </w:p>
        </w:tc>
        <w:tc>
          <w:tcPr>
            <w:tcW w:w="2400" w:type="dxa"/>
          </w:tcPr>
          <w:p>
            <w:pPr>
              <w:spacing w:before="40" w:after="40"/>
              <w:jc w:val="left"/>
            </w:pPr>
            <w:r>
              <w:rPr>
                <w:color w:val="334155"/>
                <w:sz w:val="20"/>
              </w:rPr>
              <w:t>Prepare final memo, presentation, and recommendation</w:t>
            </w:r>
          </w:p>
        </w:tc>
        <w:tc>
          <w:tcPr>
            <w:tcW w:w="2200" w:type="dxa"/>
          </w:tcPr>
          <w:p>
            <w:pPr>
              <w:spacing w:before="40" w:after="40"/>
              <w:jc w:val="left"/>
            </w:pPr>
            <w:r>
              <w:rPr>
                <w:color w:val="334155"/>
                <w:sz w:val="20"/>
              </w:rPr>
              <w:t>Investor-ready case document</w:t>
            </w:r>
          </w:p>
        </w:tc>
        <w:tc>
          <w:tcPr>
            <w:tcW w:w="1600" w:type="dxa"/>
          </w:tcPr>
          <w:p>
            <w:pPr>
              <w:spacing w:before="40" w:after="40"/>
              <w:jc w:val="left"/>
            </w:pPr>
            <w:r>
              <w:rPr>
                <w:color w:val="334155"/>
                <w:sz w:val="20"/>
              </w:rPr>
              <w:t>1 week</w:t>
            </w:r>
          </w:p>
        </w:tc>
      </w:tr>
    </w:tbl>
    <w:p>
      <w:pPr>
        <w:spacing w:before="80" w:after="160"/>
      </w:pPr>
    </w:p>
    <w:p>
      <w:pPr>
        <w:pStyle w:val="Heading2"/>
      </w:pPr>
      <w:r>
        <w:t>Portfolio Narrative</w:t>
      </w:r>
    </w:p>
    <w:p>
      <w:r>
        <w:t>This project demonstrates strategic investment reasoning, fintech literacy, and the ability to convert a market theme into a decision-ready thesis. It goes beyond describing embedded finance as a trend and identifies the specific mechanism that could create advantage: marketplace-owned transaction data.</w:t>
      </w:r>
    </w:p>
    <w:p>
      <w:r>
        <w:t>The case shows ability in market sizing, risk architecture, business model design, and executive communication. It also demonstrates disciplined optimism: the opportunity is framed with conviction, but not without controls, downside analysis, and diligence logic.</w:t>
      </w:r>
    </w:p>
    <w:p>
      <w:pPr>
        <w:pStyle w:val="Heading2"/>
      </w:pPr>
      <w:r>
        <w:t>Final Conclusion</w:t>
      </w:r>
    </w:p>
    <w:p>
      <w:r>
        <w:t>Embedded Finance Investment Memo for LatAm B2B Marketplaces presents a clear, investor-ready case for why commerce platforms can become financial-margin engines. The project links market need, data advantage, product architecture, timing, and risk control into a coherent thesis. It is portfolio-ready because it shows how complex fintech opportunities can be translated into disciplined investment analysis and commercially actionable strategy.</w:t>
      </w:r>
    </w:p>
    <w:p>
      <w:pPr>
        <w:pageBreakBefore/>
      </w:pPr>
    </w:p>
    <w:p>
      <w:pPr>
        <w:pStyle w:val="Heading1"/>
      </w:pPr>
      <w:r>
        <w:t>Project 4: Pricing-Led Fintech Strategy Executive Brief</w:t>
      </w:r>
      <w:bookmarkStart w:name="_P4" w:id="4"/>
      <w:bookmarkEnd w:id="4"/>
    </w:p>
    <w:p>
      <w:r>
        <w:rPr>
          <w:b/>
        </w:rPr>
        <w:t>Strategic Subtitle: </w:t>
      </w:r>
      <w:r>
        <w:t>Using segmentation, infrastructure, and specialization to build a sharper fintech market position</w:t>
      </w:r>
    </w:p>
    <w:p>
      <w:r>
        <w:rPr>
          <w:b/>
        </w:rPr>
        <w:t>Commercial Promise: </w:t>
      </w:r>
      <w:r>
        <w:t>A decision-ready executive strategy that connects pricing architecture with infrastructure-led market advantage.</w:t>
      </w:r>
    </w:p>
    <w:p>
      <w:r>
        <w:rPr>
          <w:b/>
        </w:rPr>
        <w:t>Category: </w:t>
      </w:r>
      <w:r>
        <w:t>Executive Strategy, Fintech Positioning, Pricing Strategy, Competitive Intelligence</w:t>
      </w:r>
    </w:p>
    <w:p>
      <w:r>
        <w:rPr>
          <w:b/>
        </w:rPr>
        <w:t>Context: </w:t>
      </w:r>
      <w:r>
        <w:t>Fintech SaaS, infrastructure platform, embedded finance provider, or B2B software company moving from generic offer to specialized market positioning.</w:t>
      </w:r>
    </w:p>
    <w:p>
      <w:pPr>
        <w:pStyle w:val="Heading2"/>
      </w:pPr>
      <w:r>
        <w:t>Executive Summary</w:t>
      </w:r>
    </w:p>
    <w:p>
      <w:r>
        <w:t>This project reframed a pricing problem as a broader executive strategy problem. The source business had evidence that a one-size-fits-all pricing model was constraining revenue, but the deeper issue was strategic: the company needed to clarify which customer segments it served, which capabilities justified premium pricing, and how infrastructure could support specialization.</w:t>
      </w:r>
    </w:p>
    <w:p>
      <w:r>
        <w:t>The work connected B2B SaaS pricing architecture with fintech market strategy. It translated customer segmentation, tier design, and monetization logic into an executive brief about competitive advantage. The final strategy called for moving from generic access to a more deliberate model: integrate where infrastructure matters, specialize where customer needs diverge, and partner where distribution or trust accelerates adoption.</w:t>
      </w:r>
    </w:p>
    <w:p>
      <w:r>
        <w:t>The value created was a coherent strategic narrative that executives could use to align pricing, product, go-to-market, and positioning decisions.</w:t>
      </w:r>
    </w:p>
    <w:p>
      <w:pPr>
        <w:pStyle w:val="Heading2"/>
      </w:pPr>
      <w:r>
        <w:t>Project Context</w:t>
      </w:r>
    </w:p>
    <w:p>
      <w:r>
        <w:t>The client environment was a fintech or SaaS business operating in a crowded market where feature parity and generic pricing made differentiation harder. The company had customer traction, but its commercial structure did not fully reflect differences in customer maturity, operating complexity, or strategic value.</w:t>
      </w:r>
    </w:p>
    <w:p>
      <w:r>
        <w:t>Pain points included: pricing tiers did not clearly signal which customer each package was built for; infrastructure capabilities were treated as back-end features instead of strategic differentiators; customer groups with different risk, compliance, workflow, and growth needs were placed into similar value stories; executive decisions lacked a single framework connecting pricing, product specialization, and market positioning; the company risked competing as a generic vendor rather than as a focused infrastructure partner.</w:t>
      </w:r>
    </w:p>
    <w:p>
      <w:pPr>
        <w:pStyle w:val="Heading2"/>
      </w:pPr>
      <w:r>
        <w:t>Problem Statement</w:t>
      </w:r>
    </w:p>
    <w:p>
      <w:r>
        <w:t>The core problem was that the company's commercial model did not express its strategic advantage. Pricing was too flat, segmentation was underdeveloped, and infrastructure value was not clearly converted into customer-specific offers.</w:t>
      </w:r>
    </w:p>
    <w:p>
      <w:r>
        <w:t>Stakeholder friction appeared across the business: sales teams lacked a sharp narrative for why larger customers should pay more; product teams had limited guidance on which capabilities deserved premium packaging; executives needed clearer strategic priorities, not another market summary; customers could not easily determine which package matched their operating maturity.</w:t>
      </w:r>
    </w:p>
    <w:p>
      <w:r>
        <w:t>If unresolved, the company would continue to underprice strategic value, overcomplicate customer communication, and miss opportunities to specialize in higher-value segments.</w:t>
      </w:r>
    </w:p>
    <w:p>
      <w:pPr>
        <w:pStyle w:val="Heading2"/>
      </w:pPr>
      <w:r>
        <w:t>Project Goals</w:t>
      </w:r>
    </w:p>
    <w:p>
      <w:pPr>
        <w:ind w:left="720"/>
      </w:pPr>
      <w:r>
        <w:t>• Translate pricing into strategy: Move beyond price points and define how pricing supports market position.</w:t>
      </w:r>
    </w:p>
    <w:p>
      <w:pPr>
        <w:ind w:left="720"/>
      </w:pPr>
      <w:r>
        <w:t>• Clarify customer segmentation: Distinguish small practices, growing firms, and established operations.</w:t>
      </w:r>
    </w:p>
    <w:p>
      <w:pPr>
        <w:ind w:left="720"/>
      </w:pPr>
      <w:r>
        <w:t>• Define infrastructure value: Identify which capabilities justify premium positioning and enterprise pricing.</w:t>
      </w:r>
    </w:p>
    <w:p>
      <w:pPr>
        <w:ind w:left="720"/>
      </w:pPr>
      <w:r>
        <w:t>• Improve commercial decision-making: Create a brief executives can use to align pricing, product, and go-to-market.</w:t>
      </w:r>
    </w:p>
    <w:p>
      <w:pPr>
        <w:ind w:left="720"/>
      </w:pPr>
      <w:r>
        <w:t>• Support specialization: Show where the company should integrate, specialize, or partner.</w:t>
      </w:r>
    </w:p>
    <w:p>
      <w:pPr>
        <w:ind w:left="720"/>
      </w:pPr>
      <w:r>
        <w:t>• Strengthen client communication: Make the value story sharper and more credible.</w:t>
      </w:r>
    </w:p>
    <w:p>
      <w:pPr>
        <w:ind w:left="720"/>
      </w:pPr>
      <w:r>
        <w:t>• Reduce strategic noise: Convert market complexity into focused executive priorities.</w:t>
      </w:r>
    </w:p>
    <w:p>
      <w:pPr>
        <w:pStyle w:val="Heading2"/>
      </w:pPr>
      <w:r>
        <w:t>Strategic Approach</w:t>
      </w:r>
    </w:p>
    <w:p>
      <w:r>
        <w:t>The methodology combined commercial diagnosis, executive strategy, pricing architecture, and competitive positioning:</w:t>
      </w:r>
    </w:p>
    <w:p>
      <w:pPr>
        <w:ind w:left="720"/>
      </w:pPr>
      <w:r>
        <w:t>1. Discovery: Reviewed current pricing, customer groups, feature set, competitive pressure, and market positioning.</w:t>
      </w:r>
    </w:p>
    <w:p>
      <w:pPr>
        <w:ind w:left="720"/>
      </w:pPr>
      <w:r>
        <w:t>2. Stakeholder analysis: Mapped the concerns of executives, sales, product, finance, customer success, and enterprise buyers.</w:t>
      </w:r>
    </w:p>
    <w:p>
      <w:pPr>
        <w:ind w:left="720"/>
      </w:pPr>
      <w:r>
        <w:t>3. Workflow mapping: Connected customer operating maturity to product needs, support needs, and willingness to pay.</w:t>
      </w:r>
    </w:p>
    <w:p>
      <w:pPr>
        <w:ind w:left="720"/>
      </w:pPr>
      <w:r>
        <w:t>4. Pain point identification: Identified where flat pricing, generic messaging, and weak specialization reduced value capture.</w:t>
      </w:r>
    </w:p>
    <w:p>
      <w:pPr>
        <w:ind w:left="720"/>
      </w:pPr>
      <w:r>
        <w:t>5. UX/UI structuring: Organized the brief around segmentation, tier logic, strategic options, and executive recommendation.</w:t>
      </w:r>
    </w:p>
    <w:p>
      <w:pPr>
        <w:ind w:left="720"/>
      </w:pPr>
      <w:r>
        <w:t>6. Risk control definition: Defined rollout risks around churn, complexity, price resistance, and product readiness.</w:t>
      </w:r>
    </w:p>
    <w:p>
      <w:pPr>
        <w:ind w:left="720"/>
      </w:pPr>
      <w:r>
        <w:t>7. Solution framing: Positioned infrastructure as a strategic asset that should shape packaging and market focus.</w:t>
      </w:r>
    </w:p>
    <w:p>
      <w:pPr>
        <w:ind w:left="720"/>
      </w:pPr>
      <w:r>
        <w:t>8. Validation logic: Recommended testing segments, willingness to pay, feature fences, and sales conversion impact.</w:t>
      </w:r>
    </w:p>
    <w:p>
      <w:pPr>
        <w:pStyle w:val="Heading2"/>
      </w:pPr>
      <w:r>
        <w:t>Solution Overview</w:t>
      </w:r>
    </w:p>
    <w:p>
      <w:r>
        <w:t>The solution was an executive strategy brief that integrated pricing architecture with fintech positioning.</w:t>
      </w:r>
    </w:p>
    <w:p>
      <w:r>
        <w:t>Main components:</w:t>
      </w:r>
    </w:p>
    <w:p>
      <w:pPr>
        <w:ind w:left="720"/>
      </w:pPr>
      <w:r>
        <w:t>• Segmentation model: Three customer groups with distinct needs, buying logic, and value drivers.</w:t>
      </w:r>
    </w:p>
    <w:p>
      <w:pPr>
        <w:ind w:left="720"/>
      </w:pPr>
      <w:r>
        <w:t>• Pricing ladder: Starter, professional/growth, and business/enterprise tiers aligned to customer maturity.</w:t>
      </w:r>
    </w:p>
    <w:p>
      <w:pPr>
        <w:ind w:left="720"/>
      </w:pPr>
      <w:r>
        <w:t>• Infrastructure strategy: Clear recommendation to build advantage where infrastructure unlocks specialization.</w:t>
      </w:r>
    </w:p>
    <w:p>
      <w:pPr>
        <w:ind w:left="720"/>
      </w:pPr>
      <w:r>
        <w:t>• Strategic call: Integrate core capabilities, specialize around high-value workflows, and partner where speed or trust matters.</w:t>
      </w:r>
    </w:p>
    <w:p>
      <w:pPr>
        <w:ind w:left="720"/>
      </w:pPr>
      <w:r>
        <w:t>• Commercial narrative: Connect product value to monetization logic, buyer confidence, and revenue growth.</w:t>
      </w:r>
    </w:p>
    <w:p>
      <w:pPr>
        <w:ind w:left="720"/>
      </w:pPr>
      <w:r>
        <w:t>• Decision framework: Help leadership decide which capabilities belong in entry, growth, and premium packages.</w:t>
      </w:r>
    </w:p>
    <w:p>
      <w:r>
        <w:t>The result was not a tactical pricing page alone. It was a strategy document showing how monetization can clarify positioning and support durable competitive advantage.</w:t>
      </w:r>
    </w:p>
    <w:p>
      <w:pPr>
        <w:pStyle w:val="Heading2"/>
      </w:pPr>
      <w:r>
        <w:t>UX/UI and Design Decisions</w:t>
      </w:r>
    </w:p>
    <w:p>
      <w:r>
        <w:t>The design used a dark navy executive brief style, cyan accents for analytical structure, green accents for strategic priority and growth signals, and restrained iconography for pricing, market, and infrastructure concepts.</w:t>
      </w:r>
    </w:p>
    <w:p>
      <w:r>
        <w:t>Design decisions: Information architecture combined pricing diagnosis, segmentation, tier design, strategic recommendation, and executive CTA; visual hierarchy led with strategic statements, then supported them with structured pricing and segment evidence; executive readability used compact panels, clear metrics, and directional frameworks rather than dense narrative pages; trust-building presented the recommendation as commercial reasoning, not design preference; complexity simplification translated pricing, infrastructure, and market-position questions into one coherent strategic model; decision support made each slide or section answer a leadership question: who to serve, what to package, how to position, and where to specialize.</w:t>
      </w:r>
    </w:p>
    <w:p>
      <w:pPr>
        <w:pStyle w:val="Heading2"/>
      </w:pPr>
      <w:r>
        <w:t>Workflow or Operating Model</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000"/>
        <w:gridCol w:w="2200"/>
        <w:gridCol w:w="2200"/>
        <w:gridCol w:w="1600"/>
        <w:gridCol w:w="2000"/>
      </w:tblGrid>
      <w:tr>
        <w:trPr>
          <w:tblHeader/>
        </w:trPr>
        <w:tc>
          <w:tcPr>
            <w:tcW w:w="2000" w:type="dxa"/>
            <w:shd w:val="clear" w:fill="f1f5f9"/>
          </w:tcPr>
          <w:p>
            <w:pPr>
              <w:spacing w:before="60" w:after="60"/>
              <w:jc w:val="left"/>
            </w:pPr>
            <w:r>
              <w:rPr>
                <w:b/>
                <w:color w:val="0f172a"/>
                <w:sz w:val="20"/>
              </w:rPr>
              <w:t>Strategic Layer</w:t>
            </w:r>
          </w:p>
        </w:tc>
        <w:tc>
          <w:tcPr>
            <w:tcW w:w="2200" w:type="dxa"/>
            <w:shd w:val="clear" w:fill="f1f5f9"/>
          </w:tcPr>
          <w:p>
            <w:pPr>
              <w:spacing w:before="60" w:after="60"/>
              <w:jc w:val="left"/>
            </w:pPr>
            <w:r>
              <w:rPr>
                <w:b/>
                <w:color w:val="0f172a"/>
                <w:sz w:val="20"/>
              </w:rPr>
              <w:t>Before</w:t>
            </w:r>
          </w:p>
        </w:tc>
        <w:tc>
          <w:tcPr>
            <w:tcW w:w="2200" w:type="dxa"/>
            <w:shd w:val="clear" w:fill="f1f5f9"/>
          </w:tcPr>
          <w:p>
            <w:pPr>
              <w:spacing w:before="60" w:after="60"/>
              <w:jc w:val="left"/>
            </w:pPr>
            <w:r>
              <w:rPr>
                <w:b/>
                <w:color w:val="0f172a"/>
                <w:sz w:val="20"/>
              </w:rPr>
              <w:t>After</w:t>
            </w:r>
          </w:p>
        </w:tc>
        <w:tc>
          <w:tcPr>
            <w:tcW w:w="1600" w:type="dxa"/>
            <w:shd w:val="clear" w:fill="f1f5f9"/>
          </w:tcPr>
          <w:p>
            <w:pPr>
              <w:spacing w:before="60" w:after="60"/>
              <w:jc w:val="left"/>
            </w:pPr>
            <w:r>
              <w:rPr>
                <w:b/>
                <w:color w:val="0f172a"/>
                <w:sz w:val="20"/>
              </w:rPr>
              <w:t>Owner</w:t>
            </w:r>
          </w:p>
        </w:tc>
        <w:tc>
          <w:tcPr>
            <w:tcW w:w="2000" w:type="dxa"/>
            <w:shd w:val="clear" w:fill="f1f5f9"/>
          </w:tcPr>
          <w:p>
            <w:pPr>
              <w:spacing w:before="60" w:after="60"/>
              <w:jc w:val="left"/>
            </w:pPr>
            <w:r>
              <w:rPr>
                <w:b/>
                <w:color w:val="0f172a"/>
                <w:sz w:val="20"/>
              </w:rPr>
              <w:t>Output</w:t>
            </w:r>
          </w:p>
        </w:tc>
      </w:tr>
      <w:tr>
        <w:tc>
          <w:tcPr>
            <w:tcW w:w="2000" w:type="dxa"/>
          </w:tcPr>
          <w:p>
            <w:pPr>
              <w:spacing w:before="40" w:after="40"/>
              <w:jc w:val="left"/>
            </w:pPr>
            <w:r>
              <w:rPr>
                <w:color w:val="334155"/>
                <w:sz w:val="20"/>
              </w:rPr>
              <w:t>Customer segmentation</w:t>
            </w:r>
          </w:p>
        </w:tc>
        <w:tc>
          <w:tcPr>
            <w:tcW w:w="2200" w:type="dxa"/>
          </w:tcPr>
          <w:p>
            <w:pPr>
              <w:spacing w:before="40" w:after="40"/>
              <w:jc w:val="left"/>
            </w:pPr>
            <w:r>
              <w:rPr>
                <w:color w:val="334155"/>
                <w:sz w:val="20"/>
              </w:rPr>
              <w:t>Broad customer base</w:t>
            </w:r>
          </w:p>
        </w:tc>
        <w:tc>
          <w:tcPr>
            <w:tcW w:w="2200" w:type="dxa"/>
          </w:tcPr>
          <w:p>
            <w:pPr>
              <w:spacing w:before="40" w:after="40"/>
              <w:jc w:val="left"/>
            </w:pPr>
            <w:r>
              <w:rPr>
                <w:color w:val="334155"/>
                <w:sz w:val="20"/>
              </w:rPr>
              <w:t>Three defined buying logics</w:t>
            </w:r>
          </w:p>
        </w:tc>
        <w:tc>
          <w:tcPr>
            <w:tcW w:w="1600" w:type="dxa"/>
          </w:tcPr>
          <w:p>
            <w:pPr>
              <w:spacing w:before="40" w:after="40"/>
              <w:jc w:val="left"/>
            </w:pPr>
            <w:r>
              <w:rPr>
                <w:color w:val="334155"/>
                <w:sz w:val="20"/>
              </w:rPr>
              <w:t>Strategy and revenue team</w:t>
            </w:r>
          </w:p>
        </w:tc>
        <w:tc>
          <w:tcPr>
            <w:tcW w:w="2000" w:type="dxa"/>
          </w:tcPr>
          <w:p>
            <w:pPr>
              <w:spacing w:before="40" w:after="40"/>
              <w:jc w:val="left"/>
            </w:pPr>
            <w:r>
              <w:rPr>
                <w:color w:val="334155"/>
                <w:sz w:val="20"/>
              </w:rPr>
              <w:t>Segment framework</w:t>
            </w:r>
          </w:p>
        </w:tc>
      </w:tr>
      <w:tr>
        <w:tc>
          <w:tcPr>
            <w:tcW w:w="2000" w:type="dxa"/>
          </w:tcPr>
          <w:p>
            <w:pPr>
              <w:spacing w:before="40" w:after="40"/>
              <w:jc w:val="left"/>
            </w:pPr>
            <w:r>
              <w:rPr>
                <w:color w:val="334155"/>
                <w:sz w:val="20"/>
              </w:rPr>
              <w:t>Pricing architecture</w:t>
            </w:r>
          </w:p>
        </w:tc>
        <w:tc>
          <w:tcPr>
            <w:tcW w:w="2200" w:type="dxa"/>
          </w:tcPr>
          <w:p>
            <w:pPr>
              <w:spacing w:before="40" w:after="40"/>
              <w:jc w:val="left"/>
            </w:pPr>
            <w:r>
              <w:rPr>
                <w:color w:val="334155"/>
                <w:sz w:val="20"/>
              </w:rPr>
              <w:t>Flat or weakly differentiated plans</w:t>
            </w:r>
          </w:p>
        </w:tc>
        <w:tc>
          <w:tcPr>
            <w:tcW w:w="2200" w:type="dxa"/>
          </w:tcPr>
          <w:p>
            <w:pPr>
              <w:spacing w:before="40" w:after="40"/>
              <w:jc w:val="left"/>
            </w:pPr>
            <w:r>
              <w:rPr>
                <w:color w:val="334155"/>
                <w:sz w:val="20"/>
              </w:rPr>
              <w:t>Tiered ladder with upgrade fences</w:t>
            </w:r>
          </w:p>
        </w:tc>
        <w:tc>
          <w:tcPr>
            <w:tcW w:w="1600" w:type="dxa"/>
          </w:tcPr>
          <w:p>
            <w:pPr>
              <w:spacing w:before="40" w:after="40"/>
              <w:jc w:val="left"/>
            </w:pPr>
            <w:r>
              <w:rPr>
                <w:color w:val="334155"/>
                <w:sz w:val="20"/>
              </w:rPr>
              <w:t>Finance and product marketing</w:t>
            </w:r>
          </w:p>
        </w:tc>
        <w:tc>
          <w:tcPr>
            <w:tcW w:w="2000" w:type="dxa"/>
          </w:tcPr>
          <w:p>
            <w:pPr>
              <w:spacing w:before="40" w:after="40"/>
              <w:jc w:val="left"/>
            </w:pPr>
            <w:r>
              <w:rPr>
                <w:color w:val="334155"/>
                <w:sz w:val="20"/>
              </w:rPr>
              <w:t>Pricing model</w:t>
            </w:r>
          </w:p>
        </w:tc>
      </w:tr>
      <w:tr>
        <w:tc>
          <w:tcPr>
            <w:tcW w:w="2000" w:type="dxa"/>
          </w:tcPr>
          <w:p>
            <w:pPr>
              <w:spacing w:before="40" w:after="40"/>
              <w:jc w:val="left"/>
            </w:pPr>
            <w:r>
              <w:rPr>
                <w:color w:val="334155"/>
                <w:sz w:val="20"/>
              </w:rPr>
              <w:t>Product packaging</w:t>
            </w:r>
          </w:p>
        </w:tc>
        <w:tc>
          <w:tcPr>
            <w:tcW w:w="2200" w:type="dxa"/>
          </w:tcPr>
          <w:p>
            <w:pPr>
              <w:spacing w:before="40" w:after="40"/>
              <w:jc w:val="left"/>
            </w:pPr>
            <w:r>
              <w:rPr>
                <w:color w:val="334155"/>
                <w:sz w:val="20"/>
              </w:rPr>
              <w:t>Features grouped by availability</w:t>
            </w:r>
          </w:p>
        </w:tc>
        <w:tc>
          <w:tcPr>
            <w:tcW w:w="2200" w:type="dxa"/>
          </w:tcPr>
          <w:p>
            <w:pPr>
              <w:spacing w:before="40" w:after="40"/>
              <w:jc w:val="left"/>
            </w:pPr>
            <w:r>
              <w:rPr>
                <w:color w:val="334155"/>
                <w:sz w:val="20"/>
              </w:rPr>
              <w:t>Capabilities grouped by customer maturity and value</w:t>
            </w:r>
          </w:p>
        </w:tc>
        <w:tc>
          <w:tcPr>
            <w:tcW w:w="1600" w:type="dxa"/>
          </w:tcPr>
          <w:p>
            <w:pPr>
              <w:spacing w:before="40" w:after="40"/>
              <w:jc w:val="left"/>
            </w:pPr>
            <w:r>
              <w:rPr>
                <w:color w:val="334155"/>
                <w:sz w:val="20"/>
              </w:rPr>
              <w:t>Product</w:t>
            </w:r>
          </w:p>
        </w:tc>
        <w:tc>
          <w:tcPr>
            <w:tcW w:w="2000" w:type="dxa"/>
          </w:tcPr>
          <w:p>
            <w:pPr>
              <w:spacing w:before="40" w:after="40"/>
              <w:jc w:val="left"/>
            </w:pPr>
            <w:r>
              <w:rPr>
                <w:color w:val="334155"/>
                <w:sz w:val="20"/>
              </w:rPr>
              <w:t>Package map</w:t>
            </w:r>
          </w:p>
        </w:tc>
      </w:tr>
      <w:tr>
        <w:tc>
          <w:tcPr>
            <w:tcW w:w="2000" w:type="dxa"/>
          </w:tcPr>
          <w:p>
            <w:pPr>
              <w:spacing w:before="40" w:after="40"/>
              <w:jc w:val="left"/>
            </w:pPr>
            <w:r>
              <w:rPr>
                <w:color w:val="334155"/>
                <w:sz w:val="20"/>
              </w:rPr>
              <w:t>Market positioning</w:t>
            </w:r>
          </w:p>
        </w:tc>
        <w:tc>
          <w:tcPr>
            <w:tcW w:w="2200" w:type="dxa"/>
          </w:tcPr>
          <w:p>
            <w:pPr>
              <w:spacing w:before="40" w:after="40"/>
              <w:jc w:val="left"/>
            </w:pPr>
            <w:r>
              <w:rPr>
                <w:color w:val="334155"/>
                <w:sz w:val="20"/>
              </w:rPr>
              <w:t>Generic SaaS or fintech messaging</w:t>
            </w:r>
          </w:p>
        </w:tc>
        <w:tc>
          <w:tcPr>
            <w:tcW w:w="2200" w:type="dxa"/>
          </w:tcPr>
          <w:p>
            <w:pPr>
              <w:spacing w:before="40" w:after="40"/>
              <w:jc w:val="left"/>
            </w:pPr>
            <w:r>
              <w:rPr>
                <w:color w:val="334155"/>
                <w:sz w:val="20"/>
              </w:rPr>
              <w:t>Infrastructure-led specialization</w:t>
            </w:r>
          </w:p>
        </w:tc>
        <w:tc>
          <w:tcPr>
            <w:tcW w:w="1600" w:type="dxa"/>
          </w:tcPr>
          <w:p>
            <w:pPr>
              <w:spacing w:before="40" w:after="40"/>
              <w:jc w:val="left"/>
            </w:pPr>
            <w:r>
              <w:rPr>
                <w:color w:val="334155"/>
                <w:sz w:val="20"/>
              </w:rPr>
              <w:t>Executive team</w:t>
            </w:r>
          </w:p>
        </w:tc>
        <w:tc>
          <w:tcPr>
            <w:tcW w:w="2000" w:type="dxa"/>
          </w:tcPr>
          <w:p>
            <w:pPr>
              <w:spacing w:before="40" w:after="40"/>
              <w:jc w:val="left"/>
            </w:pPr>
            <w:r>
              <w:rPr>
                <w:color w:val="334155"/>
                <w:sz w:val="20"/>
              </w:rPr>
              <w:t>Positioning narrative</w:t>
            </w:r>
          </w:p>
        </w:tc>
      </w:tr>
      <w:tr>
        <w:tc>
          <w:tcPr>
            <w:tcW w:w="2000" w:type="dxa"/>
          </w:tcPr>
          <w:p>
            <w:pPr>
              <w:spacing w:before="40" w:after="40"/>
              <w:jc w:val="left"/>
            </w:pPr>
            <w:r>
              <w:rPr>
                <w:color w:val="334155"/>
                <w:sz w:val="20"/>
              </w:rPr>
              <w:t>Go-to-market</w:t>
            </w:r>
          </w:p>
        </w:tc>
        <w:tc>
          <w:tcPr>
            <w:tcW w:w="2200" w:type="dxa"/>
          </w:tcPr>
          <w:p>
            <w:pPr>
              <w:spacing w:before="40" w:after="40"/>
              <w:jc w:val="left"/>
            </w:pPr>
            <w:r>
              <w:rPr>
                <w:color w:val="334155"/>
                <w:sz w:val="20"/>
              </w:rPr>
              <w:t>One broad story</w:t>
            </w:r>
          </w:p>
        </w:tc>
        <w:tc>
          <w:tcPr>
            <w:tcW w:w="2200" w:type="dxa"/>
          </w:tcPr>
          <w:p>
            <w:pPr>
              <w:spacing w:before="40" w:after="40"/>
              <w:jc w:val="left"/>
            </w:pPr>
            <w:r>
              <w:rPr>
                <w:color w:val="334155"/>
                <w:sz w:val="20"/>
              </w:rPr>
              <w:t>Segment-specific sales and communication</w:t>
            </w:r>
          </w:p>
        </w:tc>
        <w:tc>
          <w:tcPr>
            <w:tcW w:w="1600" w:type="dxa"/>
          </w:tcPr>
          <w:p>
            <w:pPr>
              <w:spacing w:before="40" w:after="40"/>
              <w:jc w:val="left"/>
            </w:pPr>
            <w:r>
              <w:rPr>
                <w:color w:val="334155"/>
                <w:sz w:val="20"/>
              </w:rPr>
              <w:t>Sales and marketing</w:t>
            </w:r>
          </w:p>
        </w:tc>
        <w:tc>
          <w:tcPr>
            <w:tcW w:w="2000" w:type="dxa"/>
          </w:tcPr>
          <w:p>
            <w:pPr>
              <w:spacing w:before="40" w:after="40"/>
              <w:jc w:val="left"/>
            </w:pPr>
            <w:r>
              <w:rPr>
                <w:color w:val="334155"/>
                <w:sz w:val="20"/>
              </w:rPr>
              <w:t>Enablement guide</w:t>
            </w:r>
          </w:p>
        </w:tc>
      </w:tr>
      <w:tr>
        <w:tc>
          <w:tcPr>
            <w:tcW w:w="2000" w:type="dxa"/>
          </w:tcPr>
          <w:p>
            <w:pPr>
              <w:spacing w:before="40" w:after="40"/>
              <w:jc w:val="left"/>
            </w:pPr>
            <w:r>
              <w:rPr>
                <w:color w:val="334155"/>
                <w:sz w:val="20"/>
              </w:rPr>
              <w:t>Validation</w:t>
            </w:r>
          </w:p>
        </w:tc>
        <w:tc>
          <w:tcPr>
            <w:tcW w:w="2200" w:type="dxa"/>
          </w:tcPr>
          <w:p>
            <w:pPr>
              <w:spacing w:before="40" w:after="40"/>
              <w:jc w:val="left"/>
            </w:pPr>
            <w:r>
              <w:rPr>
                <w:color w:val="334155"/>
                <w:sz w:val="20"/>
              </w:rPr>
              <w:t>Limited pricing confidence</w:t>
            </w:r>
          </w:p>
        </w:tc>
        <w:tc>
          <w:tcPr>
            <w:tcW w:w="2200" w:type="dxa"/>
          </w:tcPr>
          <w:p>
            <w:pPr>
              <w:spacing w:before="40" w:after="40"/>
              <w:jc w:val="left"/>
            </w:pPr>
            <w:r>
              <w:rPr>
                <w:color w:val="334155"/>
                <w:sz w:val="20"/>
              </w:rPr>
              <w:t>Test plan for conversion, churn, and ARPU</w:t>
            </w:r>
          </w:p>
        </w:tc>
        <w:tc>
          <w:tcPr>
            <w:tcW w:w="1600" w:type="dxa"/>
          </w:tcPr>
          <w:p>
            <w:pPr>
              <w:spacing w:before="40" w:after="40"/>
              <w:jc w:val="left"/>
            </w:pPr>
            <w:r>
              <w:rPr>
                <w:color w:val="334155"/>
                <w:sz w:val="20"/>
              </w:rPr>
              <w:t>Revenue operations</w:t>
            </w:r>
          </w:p>
        </w:tc>
        <w:tc>
          <w:tcPr>
            <w:tcW w:w="2000" w:type="dxa"/>
          </w:tcPr>
          <w:p>
            <w:pPr>
              <w:spacing w:before="40" w:after="40"/>
              <w:jc w:val="left"/>
            </w:pPr>
            <w:r>
              <w:rPr>
                <w:color w:val="334155"/>
                <w:sz w:val="20"/>
              </w:rPr>
              <w:t>KPI dashboard</w:t>
            </w:r>
          </w:p>
        </w:tc>
      </w:tr>
    </w:tbl>
    <w:p>
      <w:pPr>
        <w:spacing w:before="80" w:after="160"/>
      </w:pPr>
    </w:p>
    <w:p>
      <w:pPr>
        <w:pStyle w:val="Heading2"/>
      </w:pPr>
      <w:r>
        <w:t>Before / After Analysis</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200"/>
        <w:gridCol w:w="2800"/>
        <w:gridCol w:w="2800"/>
        <w:gridCol w:w="2200"/>
      </w:tblGrid>
      <w:tr>
        <w:trPr>
          <w:tblHeader/>
        </w:trPr>
        <w:tc>
          <w:tcPr>
            <w:tcW w:w="2200" w:type="dxa"/>
            <w:shd w:val="clear" w:fill="f1f5f9"/>
          </w:tcPr>
          <w:p>
            <w:pPr>
              <w:spacing w:before="60" w:after="60"/>
              <w:jc w:val="left"/>
            </w:pPr>
            <w:r>
              <w:rPr>
                <w:b/>
                <w:color w:val="0f172a"/>
                <w:sz w:val="20"/>
              </w:rPr>
              <w:t>Dimension</w:t>
            </w:r>
          </w:p>
        </w:tc>
        <w:tc>
          <w:tcPr>
            <w:tcW w:w="2800" w:type="dxa"/>
            <w:shd w:val="clear" w:fill="f1f5f9"/>
          </w:tcPr>
          <w:p>
            <w:pPr>
              <w:spacing w:before="60" w:after="60"/>
              <w:jc w:val="left"/>
            </w:pPr>
            <w:r>
              <w:rPr>
                <w:b/>
                <w:color w:val="0f172a"/>
                <w:sz w:val="20"/>
              </w:rPr>
              <w:t>Before</w:t>
            </w:r>
          </w:p>
        </w:tc>
        <w:tc>
          <w:tcPr>
            <w:tcW w:w="2800" w:type="dxa"/>
            <w:shd w:val="clear" w:fill="f1f5f9"/>
          </w:tcPr>
          <w:p>
            <w:pPr>
              <w:spacing w:before="60" w:after="60"/>
              <w:jc w:val="left"/>
            </w:pPr>
            <w:r>
              <w:rPr>
                <w:b/>
                <w:color w:val="0f172a"/>
                <w:sz w:val="20"/>
              </w:rPr>
              <w:t>After</w:t>
            </w:r>
          </w:p>
        </w:tc>
        <w:tc>
          <w:tcPr>
            <w:tcW w:w="2200" w:type="dxa"/>
            <w:shd w:val="clear" w:fill="f1f5f9"/>
          </w:tcPr>
          <w:p>
            <w:pPr>
              <w:spacing w:before="60" w:after="60"/>
              <w:jc w:val="left"/>
            </w:pPr>
            <w:r>
              <w:rPr>
                <w:b/>
                <w:color w:val="0f172a"/>
                <w:sz w:val="20"/>
              </w:rPr>
              <w:t>Business Impact</w:t>
            </w:r>
          </w:p>
        </w:tc>
      </w:tr>
      <w:tr>
        <w:tc>
          <w:tcPr>
            <w:tcW w:w="2200" w:type="dxa"/>
          </w:tcPr>
          <w:p>
            <w:pPr>
              <w:spacing w:before="40" w:after="40"/>
              <w:jc w:val="left"/>
            </w:pPr>
            <w:r>
              <w:rPr>
                <w:color w:val="334155"/>
                <w:sz w:val="20"/>
              </w:rPr>
              <w:t>Strategy</w:t>
            </w:r>
          </w:p>
        </w:tc>
        <w:tc>
          <w:tcPr>
            <w:tcW w:w="2800" w:type="dxa"/>
          </w:tcPr>
          <w:p>
            <w:pPr>
              <w:spacing w:before="40" w:after="40"/>
              <w:jc w:val="left"/>
            </w:pPr>
            <w:r>
              <w:rPr>
                <w:color w:val="334155"/>
                <w:sz w:val="20"/>
              </w:rPr>
              <w:t>Market summary and pricing fragments</w:t>
            </w:r>
          </w:p>
        </w:tc>
        <w:tc>
          <w:tcPr>
            <w:tcW w:w="2800" w:type="dxa"/>
          </w:tcPr>
          <w:p>
            <w:pPr>
              <w:spacing w:before="40" w:after="40"/>
              <w:jc w:val="left"/>
            </w:pPr>
            <w:r>
              <w:rPr>
                <w:color w:val="334155"/>
                <w:sz w:val="20"/>
              </w:rPr>
              <w:t>Unified executive strategy</w:t>
            </w:r>
          </w:p>
        </w:tc>
        <w:tc>
          <w:tcPr>
            <w:tcW w:w="2200" w:type="dxa"/>
          </w:tcPr>
          <w:p>
            <w:pPr>
              <w:spacing w:before="40" w:after="40"/>
              <w:jc w:val="left"/>
            </w:pPr>
            <w:r>
              <w:rPr>
                <w:color w:val="334155"/>
                <w:sz w:val="20"/>
              </w:rPr>
              <w:t>Clearer leadership alignment</w:t>
            </w:r>
          </w:p>
        </w:tc>
      </w:tr>
      <w:tr>
        <w:tc>
          <w:tcPr>
            <w:tcW w:w="2200" w:type="dxa"/>
          </w:tcPr>
          <w:p>
            <w:pPr>
              <w:spacing w:before="40" w:after="40"/>
              <w:jc w:val="left"/>
            </w:pPr>
            <w:r>
              <w:rPr>
                <w:color w:val="334155"/>
                <w:sz w:val="20"/>
              </w:rPr>
              <w:t>Pricing</w:t>
            </w:r>
          </w:p>
        </w:tc>
        <w:tc>
          <w:tcPr>
            <w:tcW w:w="2800" w:type="dxa"/>
          </w:tcPr>
          <w:p>
            <w:pPr>
              <w:spacing w:before="40" w:after="40"/>
              <w:jc w:val="left"/>
            </w:pPr>
            <w:r>
              <w:rPr>
                <w:color w:val="334155"/>
                <w:sz w:val="20"/>
              </w:rPr>
              <w:t>Too generic for varied customers</w:t>
            </w:r>
          </w:p>
        </w:tc>
        <w:tc>
          <w:tcPr>
            <w:tcW w:w="2800" w:type="dxa"/>
          </w:tcPr>
          <w:p>
            <w:pPr>
              <w:spacing w:before="40" w:after="40"/>
              <w:jc w:val="left"/>
            </w:pPr>
            <w:r>
              <w:rPr>
                <w:color w:val="334155"/>
                <w:sz w:val="20"/>
              </w:rPr>
              <w:t>Segmented architecture</w:t>
            </w:r>
          </w:p>
        </w:tc>
        <w:tc>
          <w:tcPr>
            <w:tcW w:w="2200" w:type="dxa"/>
          </w:tcPr>
          <w:p>
            <w:pPr>
              <w:spacing w:before="40" w:after="40"/>
              <w:jc w:val="left"/>
            </w:pPr>
            <w:r>
              <w:rPr>
                <w:color w:val="334155"/>
                <w:sz w:val="20"/>
              </w:rPr>
              <w:t>Better monetization and fit</w:t>
            </w:r>
          </w:p>
        </w:tc>
      </w:tr>
      <w:tr>
        <w:tc>
          <w:tcPr>
            <w:tcW w:w="2200" w:type="dxa"/>
          </w:tcPr>
          <w:p>
            <w:pPr>
              <w:spacing w:before="40" w:after="40"/>
              <w:jc w:val="left"/>
            </w:pPr>
            <w:r>
              <w:rPr>
                <w:color w:val="334155"/>
                <w:sz w:val="20"/>
              </w:rPr>
              <w:t>Product value</w:t>
            </w:r>
          </w:p>
        </w:tc>
        <w:tc>
          <w:tcPr>
            <w:tcW w:w="2800" w:type="dxa"/>
          </w:tcPr>
          <w:p>
            <w:pPr>
              <w:spacing w:before="40" w:after="40"/>
              <w:jc w:val="left"/>
            </w:pPr>
            <w:r>
              <w:rPr>
                <w:color w:val="334155"/>
                <w:sz w:val="20"/>
              </w:rPr>
              <w:t>Features not clearly tied to willingness to pay</w:t>
            </w:r>
          </w:p>
        </w:tc>
        <w:tc>
          <w:tcPr>
            <w:tcW w:w="2800" w:type="dxa"/>
          </w:tcPr>
          <w:p>
            <w:pPr>
              <w:spacing w:before="40" w:after="40"/>
              <w:jc w:val="left"/>
            </w:pPr>
            <w:r>
              <w:rPr>
                <w:color w:val="334155"/>
                <w:sz w:val="20"/>
              </w:rPr>
              <w:t>Capabilities tied to operating maturity</w:t>
            </w:r>
          </w:p>
        </w:tc>
        <w:tc>
          <w:tcPr>
            <w:tcW w:w="2200" w:type="dxa"/>
          </w:tcPr>
          <w:p>
            <w:pPr>
              <w:spacing w:before="40" w:after="40"/>
              <w:jc w:val="left"/>
            </w:pPr>
            <w:r>
              <w:rPr>
                <w:color w:val="334155"/>
                <w:sz w:val="20"/>
              </w:rPr>
              <w:t>Stronger packaging</w:t>
            </w:r>
          </w:p>
        </w:tc>
      </w:tr>
      <w:tr>
        <w:tc>
          <w:tcPr>
            <w:tcW w:w="2200" w:type="dxa"/>
          </w:tcPr>
          <w:p>
            <w:pPr>
              <w:spacing w:before="40" w:after="40"/>
              <w:jc w:val="left"/>
            </w:pPr>
            <w:r>
              <w:rPr>
                <w:color w:val="334155"/>
                <w:sz w:val="20"/>
              </w:rPr>
              <w:t>Market position</w:t>
            </w:r>
          </w:p>
        </w:tc>
        <w:tc>
          <w:tcPr>
            <w:tcW w:w="2800" w:type="dxa"/>
          </w:tcPr>
          <w:p>
            <w:pPr>
              <w:spacing w:before="40" w:after="40"/>
              <w:jc w:val="left"/>
            </w:pPr>
            <w:r>
              <w:rPr>
                <w:color w:val="334155"/>
                <w:sz w:val="20"/>
              </w:rPr>
              <w:t>Broad vendor narrative</w:t>
            </w:r>
          </w:p>
        </w:tc>
        <w:tc>
          <w:tcPr>
            <w:tcW w:w="2800" w:type="dxa"/>
          </w:tcPr>
          <w:p>
            <w:pPr>
              <w:spacing w:before="40" w:after="40"/>
              <w:jc w:val="left"/>
            </w:pPr>
            <w:r>
              <w:rPr>
                <w:color w:val="334155"/>
                <w:sz w:val="20"/>
              </w:rPr>
              <w:t>Infrastructure-led specialization</w:t>
            </w:r>
          </w:p>
        </w:tc>
        <w:tc>
          <w:tcPr>
            <w:tcW w:w="2200" w:type="dxa"/>
          </w:tcPr>
          <w:p>
            <w:pPr>
              <w:spacing w:before="40" w:after="40"/>
              <w:jc w:val="left"/>
            </w:pPr>
            <w:r>
              <w:rPr>
                <w:color w:val="334155"/>
                <w:sz w:val="20"/>
              </w:rPr>
              <w:t>Better differentiation</w:t>
            </w:r>
          </w:p>
        </w:tc>
      </w:tr>
      <w:tr>
        <w:tc>
          <w:tcPr>
            <w:tcW w:w="2200" w:type="dxa"/>
          </w:tcPr>
          <w:p>
            <w:pPr>
              <w:spacing w:before="40" w:after="40"/>
              <w:jc w:val="left"/>
            </w:pPr>
            <w:r>
              <w:rPr>
                <w:color w:val="334155"/>
                <w:sz w:val="20"/>
              </w:rPr>
              <w:t>Customer communication</w:t>
            </w:r>
          </w:p>
        </w:tc>
        <w:tc>
          <w:tcPr>
            <w:tcW w:w="2800" w:type="dxa"/>
          </w:tcPr>
          <w:p>
            <w:pPr>
              <w:spacing w:before="40" w:after="40"/>
              <w:jc w:val="left"/>
            </w:pPr>
            <w:r>
              <w:rPr>
                <w:color w:val="334155"/>
                <w:sz w:val="20"/>
              </w:rPr>
              <w:t>Same story for different buyers</w:t>
            </w:r>
          </w:p>
        </w:tc>
        <w:tc>
          <w:tcPr>
            <w:tcW w:w="2800" w:type="dxa"/>
          </w:tcPr>
          <w:p>
            <w:pPr>
              <w:spacing w:before="40" w:after="40"/>
              <w:jc w:val="left"/>
            </w:pPr>
            <w:r>
              <w:rPr>
                <w:color w:val="334155"/>
                <w:sz w:val="20"/>
              </w:rPr>
              <w:t>Segment-specific value story</w:t>
            </w:r>
          </w:p>
        </w:tc>
        <w:tc>
          <w:tcPr>
            <w:tcW w:w="2200" w:type="dxa"/>
          </w:tcPr>
          <w:p>
            <w:pPr>
              <w:spacing w:before="40" w:after="40"/>
              <w:jc w:val="left"/>
            </w:pPr>
            <w:r>
              <w:rPr>
                <w:color w:val="334155"/>
                <w:sz w:val="20"/>
              </w:rPr>
              <w:t>Higher trust and conversion</w:t>
            </w:r>
          </w:p>
        </w:tc>
      </w:tr>
      <w:tr>
        <w:tc>
          <w:tcPr>
            <w:tcW w:w="2200" w:type="dxa"/>
          </w:tcPr>
          <w:p>
            <w:pPr>
              <w:spacing w:before="40" w:after="40"/>
              <w:jc w:val="left"/>
            </w:pPr>
            <w:r>
              <w:rPr>
                <w:color w:val="334155"/>
                <w:sz w:val="20"/>
              </w:rPr>
              <w:t>Decision-making</w:t>
            </w:r>
          </w:p>
        </w:tc>
        <w:tc>
          <w:tcPr>
            <w:tcW w:w="2800" w:type="dxa"/>
          </w:tcPr>
          <w:p>
            <w:pPr>
              <w:spacing w:before="40" w:after="40"/>
              <w:jc w:val="left"/>
            </w:pPr>
            <w:r>
              <w:rPr>
                <w:color w:val="334155"/>
                <w:sz w:val="20"/>
              </w:rPr>
              <w:t>Reactive pricing choices</w:t>
            </w:r>
          </w:p>
        </w:tc>
        <w:tc>
          <w:tcPr>
            <w:tcW w:w="2800" w:type="dxa"/>
          </w:tcPr>
          <w:p>
            <w:pPr>
              <w:spacing w:before="40" w:after="40"/>
              <w:jc w:val="left"/>
            </w:pPr>
            <w:r>
              <w:rPr>
                <w:color w:val="334155"/>
                <w:sz w:val="20"/>
              </w:rPr>
              <w:t>Structured strategic framework</w:t>
            </w:r>
          </w:p>
        </w:tc>
        <w:tc>
          <w:tcPr>
            <w:tcW w:w="2200" w:type="dxa"/>
          </w:tcPr>
          <w:p>
            <w:pPr>
              <w:spacing w:before="40" w:after="40"/>
              <w:jc w:val="left"/>
            </w:pPr>
            <w:r>
              <w:rPr>
                <w:color w:val="334155"/>
                <w:sz w:val="20"/>
              </w:rPr>
              <w:t>Faster executive action</w:t>
            </w:r>
          </w:p>
        </w:tc>
      </w:tr>
    </w:tbl>
    <w:p>
      <w:pPr>
        <w:spacing w:before="80" w:after="160"/>
      </w:pPr>
    </w:p>
    <w:p>
      <w:pPr>
        <w:pStyle w:val="Heading2"/>
      </w:pPr>
      <w:r>
        <w:t>Risk Controls and Governance</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3200"/>
        <w:gridCol w:w="6800"/>
      </w:tblGrid>
      <w:tr>
        <w:trPr>
          <w:tblHeader/>
        </w:trPr>
        <w:tc>
          <w:tcPr>
            <w:tcW w:w="3200" w:type="dxa"/>
            <w:shd w:val="clear" w:fill="f1f5f9"/>
          </w:tcPr>
          <w:p>
            <w:pPr>
              <w:spacing w:before="60" w:after="60"/>
              <w:jc w:val="left"/>
            </w:pPr>
            <w:r>
              <w:rPr>
                <w:b/>
                <w:color w:val="0f172a"/>
                <w:sz w:val="20"/>
              </w:rPr>
              <w:t>Risk Area</w:t>
            </w:r>
          </w:p>
        </w:tc>
        <w:tc>
          <w:tcPr>
            <w:tcW w:w="6800" w:type="dxa"/>
            <w:shd w:val="clear" w:fill="f1f5f9"/>
          </w:tcPr>
          <w:p>
            <w:pPr>
              <w:spacing w:before="60" w:after="60"/>
              <w:jc w:val="left"/>
            </w:pPr>
            <w:r>
              <w:rPr>
                <w:b/>
                <w:color w:val="0f172a"/>
                <w:sz w:val="20"/>
              </w:rPr>
              <w:t>Control</w:t>
            </w:r>
          </w:p>
        </w:tc>
      </w:tr>
      <w:tr>
        <w:tc>
          <w:tcPr>
            <w:tcW w:w="3200" w:type="dxa"/>
          </w:tcPr>
          <w:p>
            <w:pPr>
              <w:spacing w:before="40" w:after="40"/>
              <w:jc w:val="left"/>
            </w:pPr>
            <w:r>
              <w:rPr>
                <w:color w:val="334155"/>
                <w:sz w:val="20"/>
              </w:rPr>
              <w:t>Over-segmentation</w:t>
            </w:r>
          </w:p>
        </w:tc>
        <w:tc>
          <w:tcPr>
            <w:tcW w:w="6800" w:type="dxa"/>
          </w:tcPr>
          <w:p>
            <w:pPr>
              <w:spacing w:before="40" w:after="40"/>
              <w:jc w:val="left"/>
            </w:pPr>
            <w:r>
              <w:rPr>
                <w:color w:val="334155"/>
                <w:sz w:val="20"/>
              </w:rPr>
              <w:t>Limit initial architecture to three clear customer groups</w:t>
            </w:r>
          </w:p>
        </w:tc>
      </w:tr>
      <w:tr>
        <w:tc>
          <w:tcPr>
            <w:tcW w:w="3200" w:type="dxa"/>
          </w:tcPr>
          <w:p>
            <w:pPr>
              <w:spacing w:before="40" w:after="40"/>
              <w:jc w:val="left"/>
            </w:pPr>
            <w:r>
              <w:rPr>
                <w:color w:val="334155"/>
                <w:sz w:val="20"/>
              </w:rPr>
              <w:t>Pricing resistance</w:t>
            </w:r>
          </w:p>
        </w:tc>
        <w:tc>
          <w:tcPr>
            <w:tcW w:w="6800" w:type="dxa"/>
          </w:tcPr>
          <w:p>
            <w:pPr>
              <w:spacing w:before="40" w:after="40"/>
              <w:jc w:val="left"/>
            </w:pPr>
            <w:r>
              <w:rPr>
                <w:color w:val="334155"/>
                <w:sz w:val="20"/>
              </w:rPr>
              <w:t>Use phased communication, grandfathering, and value-based messaging</w:t>
            </w:r>
          </w:p>
        </w:tc>
      </w:tr>
      <w:tr>
        <w:tc>
          <w:tcPr>
            <w:tcW w:w="3200" w:type="dxa"/>
          </w:tcPr>
          <w:p>
            <w:pPr>
              <w:spacing w:before="40" w:after="40"/>
              <w:jc w:val="left"/>
            </w:pPr>
            <w:r>
              <w:rPr>
                <w:color w:val="334155"/>
                <w:sz w:val="20"/>
              </w:rPr>
              <w:t>Enterprise overpromise</w:t>
            </w:r>
          </w:p>
        </w:tc>
        <w:tc>
          <w:tcPr>
            <w:tcW w:w="6800" w:type="dxa"/>
          </w:tcPr>
          <w:p>
            <w:pPr>
              <w:spacing w:before="40" w:after="40"/>
              <w:jc w:val="left"/>
            </w:pPr>
            <w:r>
              <w:rPr>
                <w:color w:val="334155"/>
                <w:sz w:val="20"/>
              </w:rPr>
              <w:t>Tie premium tier to actual SLA, support, security, and integration capacity</w:t>
            </w:r>
          </w:p>
        </w:tc>
      </w:tr>
      <w:tr>
        <w:tc>
          <w:tcPr>
            <w:tcW w:w="3200" w:type="dxa"/>
          </w:tcPr>
          <w:p>
            <w:pPr>
              <w:spacing w:before="40" w:after="40"/>
              <w:jc w:val="left"/>
            </w:pPr>
            <w:r>
              <w:rPr>
                <w:color w:val="334155"/>
                <w:sz w:val="20"/>
              </w:rPr>
              <w:t>Internal misalignment</w:t>
            </w:r>
          </w:p>
        </w:tc>
        <w:tc>
          <w:tcPr>
            <w:tcW w:w="6800" w:type="dxa"/>
          </w:tcPr>
          <w:p>
            <w:pPr>
              <w:spacing w:before="40" w:after="40"/>
              <w:jc w:val="left"/>
            </w:pPr>
            <w:r>
              <w:rPr>
                <w:color w:val="334155"/>
                <w:sz w:val="20"/>
              </w:rPr>
              <w:t>Use executive brief as shared decision artifact across product, sales, and finance</w:t>
            </w:r>
          </w:p>
        </w:tc>
      </w:tr>
      <w:tr>
        <w:tc>
          <w:tcPr>
            <w:tcW w:w="3200" w:type="dxa"/>
          </w:tcPr>
          <w:p>
            <w:pPr>
              <w:spacing w:before="40" w:after="40"/>
              <w:jc w:val="left"/>
            </w:pPr>
            <w:r>
              <w:rPr>
                <w:color w:val="334155"/>
                <w:sz w:val="20"/>
              </w:rPr>
              <w:t>Weak validation</w:t>
            </w:r>
          </w:p>
        </w:tc>
        <w:tc>
          <w:tcPr>
            <w:tcW w:w="6800" w:type="dxa"/>
          </w:tcPr>
          <w:p>
            <w:pPr>
              <w:spacing w:before="40" w:after="40"/>
              <w:jc w:val="left"/>
            </w:pPr>
            <w:r>
              <w:rPr>
                <w:color w:val="334155"/>
                <w:sz w:val="20"/>
              </w:rPr>
              <w:t>Monitor plan mix, churn, conversion, and upgrade behavior</w:t>
            </w:r>
          </w:p>
        </w:tc>
      </w:tr>
      <w:tr>
        <w:tc>
          <w:tcPr>
            <w:tcW w:w="3200" w:type="dxa"/>
          </w:tcPr>
          <w:p>
            <w:pPr>
              <w:spacing w:before="40" w:after="40"/>
              <w:jc w:val="left"/>
            </w:pPr>
            <w:r>
              <w:rPr>
                <w:color w:val="334155"/>
                <w:sz w:val="20"/>
              </w:rPr>
              <w:t>Strategic drift</w:t>
            </w:r>
          </w:p>
        </w:tc>
        <w:tc>
          <w:tcPr>
            <w:tcW w:w="6800" w:type="dxa"/>
          </w:tcPr>
          <w:p>
            <w:pPr>
              <w:spacing w:before="40" w:after="40"/>
              <w:jc w:val="left"/>
            </w:pPr>
            <w:r>
              <w:rPr>
                <w:color w:val="334155"/>
                <w:sz w:val="20"/>
              </w:rPr>
              <w:t>Review roadmap decisions against integrate, specialize, partner logic</w:t>
            </w:r>
          </w:p>
        </w:tc>
      </w:tr>
      <w:tr>
        <w:tc>
          <w:tcPr>
            <w:tcW w:w="3200" w:type="dxa"/>
          </w:tcPr>
          <w:p>
            <w:pPr>
              <w:spacing w:before="40" w:after="40"/>
              <w:jc w:val="left"/>
            </w:pPr>
            <w:r>
              <w:rPr>
                <w:color w:val="334155"/>
                <w:sz w:val="20"/>
              </w:rPr>
              <w:t>Messaging complexity</w:t>
            </w:r>
          </w:p>
        </w:tc>
        <w:tc>
          <w:tcPr>
            <w:tcW w:w="6800" w:type="dxa"/>
          </w:tcPr>
          <w:p>
            <w:pPr>
              <w:spacing w:before="40" w:after="40"/>
              <w:jc w:val="left"/>
            </w:pPr>
            <w:r>
              <w:rPr>
                <w:color w:val="334155"/>
                <w:sz w:val="20"/>
              </w:rPr>
              <w:t>Keep buyer-facing language simple and segment-based</w:t>
            </w:r>
          </w:p>
        </w:tc>
      </w:tr>
    </w:tbl>
    <w:p>
      <w:pPr>
        <w:spacing w:before="80" w:after="160"/>
      </w:pPr>
    </w:p>
    <w:p>
      <w:pPr>
        <w:pStyle w:val="Heading2"/>
      </w:pPr>
      <w:r>
        <w:t>Metrics and Expected Impact</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4000"/>
        <w:gridCol w:w="6000"/>
      </w:tblGrid>
      <w:tr>
        <w:trPr>
          <w:tblHeader/>
        </w:trPr>
        <w:tc>
          <w:tcPr>
            <w:tcW w:w="4000" w:type="dxa"/>
            <w:shd w:val="clear" w:fill="f1f5f9"/>
          </w:tcPr>
          <w:p>
            <w:pPr>
              <w:spacing w:before="60" w:after="60"/>
              <w:jc w:val="left"/>
            </w:pPr>
            <w:r>
              <w:rPr>
                <w:b/>
                <w:color w:val="0f172a"/>
                <w:sz w:val="20"/>
              </w:rPr>
              <w:t>KPI</w:t>
            </w:r>
          </w:p>
        </w:tc>
        <w:tc>
          <w:tcPr>
            <w:tcW w:w="6000" w:type="dxa"/>
            <w:shd w:val="clear" w:fill="f1f5f9"/>
          </w:tcPr>
          <w:p>
            <w:pPr>
              <w:spacing w:before="60" w:after="60"/>
              <w:jc w:val="left"/>
            </w:pPr>
            <w:r>
              <w:rPr>
                <w:b/>
                <w:color w:val="0f172a"/>
                <w:sz w:val="20"/>
              </w:rPr>
              <w:t>Projected Impact</w:t>
            </w:r>
          </w:p>
        </w:tc>
      </w:tr>
      <w:tr>
        <w:tc>
          <w:tcPr>
            <w:tcW w:w="4000" w:type="dxa"/>
          </w:tcPr>
          <w:p>
            <w:pPr>
              <w:spacing w:before="40" w:after="40"/>
              <w:jc w:val="left"/>
            </w:pPr>
            <w:r>
              <w:rPr>
                <w:color w:val="334155"/>
                <w:sz w:val="20"/>
              </w:rPr>
              <w:t>ARPU growth</w:t>
            </w:r>
          </w:p>
        </w:tc>
        <w:tc>
          <w:tcPr>
            <w:tcW w:w="6000" w:type="dxa"/>
          </w:tcPr>
          <w:p>
            <w:pPr>
              <w:spacing w:before="40" w:after="40"/>
              <w:jc w:val="left"/>
            </w:pPr>
            <w:r>
              <w:rPr>
                <w:color w:val="334155"/>
                <w:sz w:val="20"/>
              </w:rPr>
              <w:t>25-40% improvement through better tier fit and premium packaging</w:t>
            </w:r>
          </w:p>
        </w:tc>
      </w:tr>
      <w:tr>
        <w:tc>
          <w:tcPr>
            <w:tcW w:w="4000" w:type="dxa"/>
          </w:tcPr>
          <w:p>
            <w:pPr>
              <w:spacing w:before="40" w:after="40"/>
              <w:jc w:val="left"/>
            </w:pPr>
            <w:r>
              <w:rPr>
                <w:color w:val="334155"/>
                <w:sz w:val="20"/>
              </w:rPr>
              <w:t>Enterprise conversion</w:t>
            </w:r>
          </w:p>
        </w:tc>
        <w:tc>
          <w:tcPr>
            <w:tcW w:w="6000" w:type="dxa"/>
          </w:tcPr>
          <w:p>
            <w:pPr>
              <w:spacing w:before="40" w:after="40"/>
              <w:jc w:val="left"/>
            </w:pPr>
            <w:r>
              <w:rPr>
                <w:color w:val="334155"/>
                <w:sz w:val="20"/>
              </w:rPr>
              <w:t>Stronger pipeline quality from clearer infrastructure positioning</w:t>
            </w:r>
          </w:p>
        </w:tc>
      </w:tr>
      <w:tr>
        <w:tc>
          <w:tcPr>
            <w:tcW w:w="4000" w:type="dxa"/>
          </w:tcPr>
          <w:p>
            <w:pPr>
              <w:spacing w:before="40" w:after="40"/>
              <w:jc w:val="left"/>
            </w:pPr>
            <w:r>
              <w:rPr>
                <w:color w:val="334155"/>
                <w:sz w:val="20"/>
              </w:rPr>
              <w:t>Sales narrative consistency</w:t>
            </w:r>
          </w:p>
        </w:tc>
        <w:tc>
          <w:tcPr>
            <w:tcW w:w="6000" w:type="dxa"/>
          </w:tcPr>
          <w:p>
            <w:pPr>
              <w:spacing w:before="40" w:after="40"/>
              <w:jc w:val="left"/>
            </w:pPr>
            <w:r>
              <w:rPr>
                <w:color w:val="334155"/>
                <w:sz w:val="20"/>
              </w:rPr>
              <w:t>Reduced inconsistency across pricing and strategy discussions</w:t>
            </w:r>
          </w:p>
        </w:tc>
      </w:tr>
      <w:tr>
        <w:tc>
          <w:tcPr>
            <w:tcW w:w="4000" w:type="dxa"/>
          </w:tcPr>
          <w:p>
            <w:pPr>
              <w:spacing w:before="40" w:after="40"/>
              <w:jc w:val="left"/>
            </w:pPr>
            <w:r>
              <w:rPr>
                <w:color w:val="334155"/>
                <w:sz w:val="20"/>
              </w:rPr>
              <w:t>Expansion revenue</w:t>
            </w:r>
          </w:p>
        </w:tc>
        <w:tc>
          <w:tcPr>
            <w:tcW w:w="6000" w:type="dxa"/>
          </w:tcPr>
          <w:p>
            <w:pPr>
              <w:spacing w:before="40" w:after="40"/>
              <w:jc w:val="left"/>
            </w:pPr>
            <w:r>
              <w:rPr>
                <w:color w:val="334155"/>
                <w:sz w:val="20"/>
              </w:rPr>
              <w:t>Higher upgrade rate from clearer tier ladder</w:t>
            </w:r>
          </w:p>
        </w:tc>
      </w:tr>
      <w:tr>
        <w:tc>
          <w:tcPr>
            <w:tcW w:w="4000" w:type="dxa"/>
          </w:tcPr>
          <w:p>
            <w:pPr>
              <w:spacing w:before="40" w:after="40"/>
              <w:jc w:val="left"/>
            </w:pPr>
            <w:r>
              <w:rPr>
                <w:color w:val="334155"/>
                <w:sz w:val="20"/>
              </w:rPr>
              <w:t>Customer trust</w:t>
            </w:r>
          </w:p>
        </w:tc>
        <w:tc>
          <w:tcPr>
            <w:tcW w:w="6000" w:type="dxa"/>
          </w:tcPr>
          <w:p>
            <w:pPr>
              <w:spacing w:before="40" w:after="40"/>
              <w:jc w:val="left"/>
            </w:pPr>
            <w:r>
              <w:rPr>
                <w:color w:val="334155"/>
                <w:sz w:val="20"/>
              </w:rPr>
              <w:t>Better package selection through segment-specific communication</w:t>
            </w:r>
          </w:p>
        </w:tc>
      </w:tr>
      <w:tr>
        <w:tc>
          <w:tcPr>
            <w:tcW w:w="4000" w:type="dxa"/>
          </w:tcPr>
          <w:p>
            <w:pPr>
              <w:spacing w:before="40" w:after="40"/>
              <w:jc w:val="left"/>
            </w:pPr>
            <w:r>
              <w:rPr>
                <w:color w:val="334155"/>
                <w:sz w:val="20"/>
              </w:rPr>
              <w:t>Executive alignment</w:t>
            </w:r>
          </w:p>
        </w:tc>
        <w:tc>
          <w:tcPr>
            <w:tcW w:w="6000" w:type="dxa"/>
          </w:tcPr>
          <w:p>
            <w:pPr>
              <w:spacing w:before="40" w:after="40"/>
              <w:jc w:val="left"/>
            </w:pPr>
            <w:r>
              <w:rPr>
                <w:color w:val="334155"/>
                <w:sz w:val="20"/>
              </w:rPr>
              <w:t>Faster decisions on pricing, product, and market focus</w:t>
            </w:r>
          </w:p>
        </w:tc>
      </w:tr>
    </w:tbl>
    <w:p>
      <w:pPr>
        <w:spacing w:before="80" w:after="160"/>
      </w:pPr>
    </w:p>
    <w:p>
      <w:pPr>
        <w:pStyle w:val="Heading2"/>
      </w:pPr>
      <w:r>
        <w:t>Deliverables</w:t>
      </w:r>
    </w:p>
    <w:p>
      <w:pPr>
        <w:ind w:left="720"/>
      </w:pPr>
      <w:r>
        <w:t>• Executive strategy brief</w:t>
      </w:r>
    </w:p>
    <w:p>
      <w:pPr>
        <w:ind w:left="720"/>
      </w:pPr>
      <w:r>
        <w:t>• Pricing architecture recommendation</w:t>
      </w:r>
    </w:p>
    <w:p>
      <w:pPr>
        <w:ind w:left="720"/>
      </w:pPr>
      <w:r>
        <w:t>• Customer segmentation framework</w:t>
      </w:r>
    </w:p>
    <w:p>
      <w:pPr>
        <w:ind w:left="720"/>
      </w:pPr>
      <w:r>
        <w:t>• Infrastructure-led positioning narrative</w:t>
      </w:r>
    </w:p>
    <w:p>
      <w:pPr>
        <w:ind w:left="720"/>
      </w:pPr>
      <w:r>
        <w:t>• Integrate-specialize-partner strategic framework</w:t>
      </w:r>
    </w:p>
    <w:p>
      <w:pPr>
        <w:ind w:left="720"/>
      </w:pPr>
      <w:r>
        <w:t>• Pricing-page structure</w:t>
      </w:r>
    </w:p>
    <w:p>
      <w:pPr>
        <w:ind w:left="720"/>
      </w:pPr>
      <w:r>
        <w:t>• Before/after commercial analysis</w:t>
      </w:r>
    </w:p>
    <w:p>
      <w:pPr>
        <w:ind w:left="720"/>
      </w:pPr>
      <w:r>
        <w:t>• KPI and validation plan</w:t>
      </w:r>
    </w:p>
    <w:p>
      <w:pPr>
        <w:ind w:left="720"/>
      </w:pPr>
      <w:r>
        <w:t>• Implementation roadmap</w:t>
      </w:r>
    </w:p>
    <w:p>
      <w:pPr>
        <w:ind w:left="720"/>
      </w:pPr>
      <w:r>
        <w:t>• Leadership-ready presentation narrative</w:t>
      </w:r>
    </w:p>
    <w:p>
      <w:pPr>
        <w:pStyle w:val="Heading2"/>
      </w:pPr>
      <w:r>
        <w:t>Tools and Methods</w:t>
      </w:r>
    </w:p>
    <w:p>
      <w:r>
        <w:t>PowerPoint for executive brief development; Figma for visual hierarchy and pricing-page structure; Miro for segmentation and strategic framework mapping; Excel for ARPU and scenario modeling; Notion for research synthesis and decision tracking; ChatGPT or AI-assisted research for competitive pattern analysis; competitive intelligence review; pricing research; customer maturity mapping; strategic option framing; executive memo writing.</w:t>
      </w:r>
    </w:p>
    <w:p>
      <w:pPr>
        <w:pStyle w:val="Heading2"/>
      </w:pPr>
      <w:r>
        <w:t>Implementation Roadmap</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1600"/>
        <w:gridCol w:w="2200"/>
        <w:gridCol w:w="2400"/>
        <w:gridCol w:w="2200"/>
        <w:gridCol w:w="1600"/>
      </w:tblGrid>
      <w:tr>
        <w:trPr>
          <w:tblHeader/>
        </w:trPr>
        <w:tc>
          <w:tcPr>
            <w:tcW w:w="1600" w:type="dxa"/>
            <w:shd w:val="clear" w:fill="f1f5f9"/>
          </w:tcPr>
          <w:p>
            <w:pPr>
              <w:spacing w:before="60" w:after="60"/>
              <w:jc w:val="left"/>
            </w:pPr>
            <w:r>
              <w:rPr>
                <w:b/>
                <w:color w:val="0f172a"/>
                <w:sz w:val="20"/>
              </w:rPr>
              <w:t>Phase</w:t>
            </w:r>
          </w:p>
        </w:tc>
        <w:tc>
          <w:tcPr>
            <w:tcW w:w="2200" w:type="dxa"/>
            <w:shd w:val="clear" w:fill="f1f5f9"/>
          </w:tcPr>
          <w:p>
            <w:pPr>
              <w:spacing w:before="60" w:after="60"/>
              <w:jc w:val="left"/>
            </w:pPr>
            <w:r>
              <w:rPr>
                <w:b/>
                <w:color w:val="0f172a"/>
                <w:sz w:val="20"/>
              </w:rPr>
              <w:t>Objective</w:t>
            </w:r>
          </w:p>
        </w:tc>
        <w:tc>
          <w:tcPr>
            <w:tcW w:w="2400" w:type="dxa"/>
            <w:shd w:val="clear" w:fill="f1f5f9"/>
          </w:tcPr>
          <w:p>
            <w:pPr>
              <w:spacing w:before="60" w:after="60"/>
              <w:jc w:val="left"/>
            </w:pPr>
            <w:r>
              <w:rPr>
                <w:b/>
                <w:color w:val="0f172a"/>
                <w:sz w:val="20"/>
              </w:rPr>
              <w:t>Key Activities</w:t>
            </w:r>
          </w:p>
        </w:tc>
        <w:tc>
          <w:tcPr>
            <w:tcW w:w="2200" w:type="dxa"/>
            <w:shd w:val="clear" w:fill="f1f5f9"/>
          </w:tcPr>
          <w:p>
            <w:pPr>
              <w:spacing w:before="60" w:after="60"/>
              <w:jc w:val="left"/>
            </w:pPr>
            <w:r>
              <w:rPr>
                <w:b/>
                <w:color w:val="0f172a"/>
                <w:sz w:val="20"/>
              </w:rPr>
              <w:t>Deliverables</w:t>
            </w:r>
          </w:p>
        </w:tc>
        <w:tc>
          <w:tcPr>
            <w:tcW w:w="1600" w:type="dxa"/>
            <w:shd w:val="clear" w:fill="f1f5f9"/>
          </w:tcPr>
          <w:p>
            <w:pPr>
              <w:spacing w:before="60" w:after="60"/>
              <w:jc w:val="left"/>
            </w:pPr>
            <w:r>
              <w:rPr>
                <w:b/>
                <w:color w:val="0f172a"/>
                <w:sz w:val="20"/>
              </w:rPr>
              <w:t>Timeline</w:t>
            </w:r>
          </w:p>
        </w:tc>
      </w:tr>
      <w:tr>
        <w:tc>
          <w:tcPr>
            <w:tcW w:w="1600" w:type="dxa"/>
          </w:tcPr>
          <w:p>
            <w:pPr>
              <w:spacing w:before="40" w:after="40"/>
              <w:jc w:val="left"/>
            </w:pPr>
            <w:r>
              <w:rPr>
                <w:color w:val="334155"/>
                <w:sz w:val="20"/>
              </w:rPr>
              <w:t>1. Commercial Diagnosis</w:t>
            </w:r>
          </w:p>
        </w:tc>
        <w:tc>
          <w:tcPr>
            <w:tcW w:w="2200" w:type="dxa"/>
          </w:tcPr>
          <w:p>
            <w:pPr>
              <w:spacing w:before="40" w:after="40"/>
              <w:jc w:val="left"/>
            </w:pPr>
            <w:r>
              <w:rPr>
                <w:color w:val="334155"/>
                <w:sz w:val="20"/>
              </w:rPr>
              <w:t>Understand why current pricing and positioning underperform</w:t>
            </w:r>
          </w:p>
        </w:tc>
        <w:tc>
          <w:tcPr>
            <w:tcW w:w="2400" w:type="dxa"/>
          </w:tcPr>
          <w:p>
            <w:pPr>
              <w:spacing w:before="40" w:after="40"/>
              <w:jc w:val="left"/>
            </w:pPr>
            <w:r>
              <w:rPr>
                <w:color w:val="334155"/>
                <w:sz w:val="20"/>
              </w:rPr>
              <w:t>Review customers, competitors, pricing, product, and sales feedback</w:t>
            </w:r>
          </w:p>
        </w:tc>
        <w:tc>
          <w:tcPr>
            <w:tcW w:w="2200" w:type="dxa"/>
          </w:tcPr>
          <w:p>
            <w:pPr>
              <w:spacing w:before="40" w:after="40"/>
              <w:jc w:val="left"/>
            </w:pPr>
            <w:r>
              <w:rPr>
                <w:color w:val="334155"/>
                <w:sz w:val="20"/>
              </w:rPr>
              <w:t>Diagnosis memo</w:t>
            </w:r>
          </w:p>
        </w:tc>
        <w:tc>
          <w:tcPr>
            <w:tcW w:w="1600" w:type="dxa"/>
          </w:tcPr>
          <w:p>
            <w:pPr>
              <w:spacing w:before="40" w:after="40"/>
              <w:jc w:val="left"/>
            </w:pPr>
            <w:r>
              <w:rPr>
                <w:color w:val="334155"/>
                <w:sz w:val="20"/>
              </w:rPr>
              <w:t>1-2 weeks</w:t>
            </w:r>
          </w:p>
        </w:tc>
      </w:tr>
      <w:tr>
        <w:tc>
          <w:tcPr>
            <w:tcW w:w="1600" w:type="dxa"/>
          </w:tcPr>
          <w:p>
            <w:pPr>
              <w:spacing w:before="40" w:after="40"/>
              <w:jc w:val="left"/>
            </w:pPr>
            <w:r>
              <w:rPr>
                <w:color w:val="334155"/>
                <w:sz w:val="20"/>
              </w:rPr>
              <w:t>2. Strategic Architecture</w:t>
            </w:r>
          </w:p>
        </w:tc>
        <w:tc>
          <w:tcPr>
            <w:tcW w:w="2200" w:type="dxa"/>
          </w:tcPr>
          <w:p>
            <w:pPr>
              <w:spacing w:before="40" w:after="40"/>
              <w:jc w:val="left"/>
            </w:pPr>
            <w:r>
              <w:rPr>
                <w:color w:val="334155"/>
                <w:sz w:val="20"/>
              </w:rPr>
              <w:t>Define segmentation, pricing ladder, and infrastructure advantage</w:t>
            </w:r>
          </w:p>
        </w:tc>
        <w:tc>
          <w:tcPr>
            <w:tcW w:w="2400" w:type="dxa"/>
          </w:tcPr>
          <w:p>
            <w:pPr>
              <w:spacing w:before="40" w:after="40"/>
              <w:jc w:val="left"/>
            </w:pPr>
            <w:r>
              <w:rPr>
                <w:color w:val="334155"/>
                <w:sz w:val="20"/>
              </w:rPr>
              <w:t>Build customer groups, tier logic, and strategic options</w:t>
            </w:r>
          </w:p>
        </w:tc>
        <w:tc>
          <w:tcPr>
            <w:tcW w:w="2200" w:type="dxa"/>
          </w:tcPr>
          <w:p>
            <w:pPr>
              <w:spacing w:before="40" w:after="40"/>
              <w:jc w:val="left"/>
            </w:pPr>
            <w:r>
              <w:rPr>
                <w:color w:val="334155"/>
                <w:sz w:val="20"/>
              </w:rPr>
              <w:t>Executive strategy framework</w:t>
            </w:r>
          </w:p>
        </w:tc>
        <w:tc>
          <w:tcPr>
            <w:tcW w:w="1600" w:type="dxa"/>
          </w:tcPr>
          <w:p>
            <w:pPr>
              <w:spacing w:before="40" w:after="40"/>
              <w:jc w:val="left"/>
            </w:pPr>
            <w:r>
              <w:rPr>
                <w:color w:val="334155"/>
                <w:sz w:val="20"/>
              </w:rPr>
              <w:t>2 weeks</w:t>
            </w:r>
          </w:p>
        </w:tc>
      </w:tr>
      <w:tr>
        <w:tc>
          <w:tcPr>
            <w:tcW w:w="1600" w:type="dxa"/>
          </w:tcPr>
          <w:p>
            <w:pPr>
              <w:spacing w:before="40" w:after="40"/>
              <w:jc w:val="left"/>
            </w:pPr>
            <w:r>
              <w:rPr>
                <w:color w:val="334155"/>
                <w:sz w:val="20"/>
              </w:rPr>
              <w:t>3. Leadership Alignment</w:t>
            </w:r>
          </w:p>
        </w:tc>
        <w:tc>
          <w:tcPr>
            <w:tcW w:w="2200" w:type="dxa"/>
          </w:tcPr>
          <w:p>
            <w:pPr>
              <w:spacing w:before="40" w:after="40"/>
              <w:jc w:val="left"/>
            </w:pPr>
            <w:r>
              <w:rPr>
                <w:color w:val="334155"/>
                <w:sz w:val="20"/>
              </w:rPr>
              <w:t>Turn analysis into decision-ready recommendation</w:t>
            </w:r>
          </w:p>
        </w:tc>
        <w:tc>
          <w:tcPr>
            <w:tcW w:w="2400" w:type="dxa"/>
          </w:tcPr>
          <w:p>
            <w:pPr>
              <w:spacing w:before="40" w:after="40"/>
              <w:jc w:val="left"/>
            </w:pPr>
            <w:r>
              <w:rPr>
                <w:color w:val="334155"/>
                <w:sz w:val="20"/>
              </w:rPr>
              <w:t>Prepare executive brief and align stakeholders</w:t>
            </w:r>
          </w:p>
        </w:tc>
        <w:tc>
          <w:tcPr>
            <w:tcW w:w="2200" w:type="dxa"/>
          </w:tcPr>
          <w:p>
            <w:pPr>
              <w:spacing w:before="40" w:after="40"/>
              <w:jc w:val="left"/>
            </w:pPr>
            <w:r>
              <w:rPr>
                <w:color w:val="334155"/>
                <w:sz w:val="20"/>
              </w:rPr>
              <w:t>Leadership presentation</w:t>
            </w:r>
          </w:p>
        </w:tc>
        <w:tc>
          <w:tcPr>
            <w:tcW w:w="1600" w:type="dxa"/>
          </w:tcPr>
          <w:p>
            <w:pPr>
              <w:spacing w:before="40" w:after="40"/>
              <w:jc w:val="left"/>
            </w:pPr>
            <w:r>
              <w:rPr>
                <w:color w:val="334155"/>
                <w:sz w:val="20"/>
              </w:rPr>
              <w:t>1 week</w:t>
            </w:r>
          </w:p>
        </w:tc>
      </w:tr>
      <w:tr>
        <w:tc>
          <w:tcPr>
            <w:tcW w:w="1600" w:type="dxa"/>
          </w:tcPr>
          <w:p>
            <w:pPr>
              <w:spacing w:before="40" w:after="40"/>
              <w:jc w:val="left"/>
            </w:pPr>
            <w:r>
              <w:rPr>
                <w:color w:val="334155"/>
                <w:sz w:val="20"/>
              </w:rPr>
              <w:t>4. Market Validation</w:t>
            </w:r>
          </w:p>
        </w:tc>
        <w:tc>
          <w:tcPr>
            <w:tcW w:w="2200" w:type="dxa"/>
          </w:tcPr>
          <w:p>
            <w:pPr>
              <w:spacing w:before="40" w:after="40"/>
              <w:jc w:val="left"/>
            </w:pPr>
            <w:r>
              <w:rPr>
                <w:color w:val="334155"/>
                <w:sz w:val="20"/>
              </w:rPr>
              <w:t>Test price, package, and positioning assumptions</w:t>
            </w:r>
          </w:p>
        </w:tc>
        <w:tc>
          <w:tcPr>
            <w:tcW w:w="2400" w:type="dxa"/>
          </w:tcPr>
          <w:p>
            <w:pPr>
              <w:spacing w:before="40" w:after="40"/>
              <w:jc w:val="left"/>
            </w:pPr>
            <w:r>
              <w:rPr>
                <w:color w:val="334155"/>
                <w:sz w:val="20"/>
              </w:rPr>
              <w:t>Run interviews, sales review, and scenario modeling</w:t>
            </w:r>
          </w:p>
        </w:tc>
        <w:tc>
          <w:tcPr>
            <w:tcW w:w="2200" w:type="dxa"/>
          </w:tcPr>
          <w:p>
            <w:pPr>
              <w:spacing w:before="40" w:after="40"/>
              <w:jc w:val="left"/>
            </w:pPr>
            <w:r>
              <w:rPr>
                <w:color w:val="334155"/>
                <w:sz w:val="20"/>
              </w:rPr>
              <w:t>Validation report</w:t>
            </w:r>
          </w:p>
        </w:tc>
        <w:tc>
          <w:tcPr>
            <w:tcW w:w="1600" w:type="dxa"/>
          </w:tcPr>
          <w:p>
            <w:pPr>
              <w:spacing w:before="40" w:after="40"/>
              <w:jc w:val="left"/>
            </w:pPr>
            <w:r>
              <w:rPr>
                <w:color w:val="334155"/>
                <w:sz w:val="20"/>
              </w:rPr>
              <w:t>2-3 weeks</w:t>
            </w:r>
          </w:p>
        </w:tc>
      </w:tr>
      <w:tr>
        <w:tc>
          <w:tcPr>
            <w:tcW w:w="1600" w:type="dxa"/>
          </w:tcPr>
          <w:p>
            <w:pPr>
              <w:spacing w:before="40" w:after="40"/>
              <w:jc w:val="left"/>
            </w:pPr>
            <w:r>
              <w:rPr>
                <w:color w:val="334155"/>
                <w:sz w:val="20"/>
              </w:rPr>
              <w:t>5. Rollout Preparation</w:t>
            </w:r>
          </w:p>
        </w:tc>
        <w:tc>
          <w:tcPr>
            <w:tcW w:w="2200" w:type="dxa"/>
          </w:tcPr>
          <w:p>
            <w:pPr>
              <w:spacing w:before="40" w:after="40"/>
              <w:jc w:val="left"/>
            </w:pPr>
            <w:r>
              <w:rPr>
                <w:color w:val="334155"/>
                <w:sz w:val="20"/>
              </w:rPr>
              <w:t>Prepare pricing, messaging, and operating materials</w:t>
            </w:r>
          </w:p>
        </w:tc>
        <w:tc>
          <w:tcPr>
            <w:tcW w:w="2400" w:type="dxa"/>
          </w:tcPr>
          <w:p>
            <w:pPr>
              <w:spacing w:before="40" w:after="40"/>
              <w:jc w:val="left"/>
            </w:pPr>
            <w:r>
              <w:rPr>
                <w:color w:val="334155"/>
                <w:sz w:val="20"/>
              </w:rPr>
              <w:t>Build enablement, pricing page, and KPI dashboard</w:t>
            </w:r>
          </w:p>
        </w:tc>
        <w:tc>
          <w:tcPr>
            <w:tcW w:w="2200" w:type="dxa"/>
          </w:tcPr>
          <w:p>
            <w:pPr>
              <w:spacing w:before="40" w:after="40"/>
              <w:jc w:val="left"/>
            </w:pPr>
            <w:r>
              <w:rPr>
                <w:color w:val="334155"/>
                <w:sz w:val="20"/>
              </w:rPr>
              <w:t>Launch package</w:t>
            </w:r>
          </w:p>
        </w:tc>
        <w:tc>
          <w:tcPr>
            <w:tcW w:w="1600" w:type="dxa"/>
          </w:tcPr>
          <w:p>
            <w:pPr>
              <w:spacing w:before="40" w:after="40"/>
              <w:jc w:val="left"/>
            </w:pPr>
            <w:r>
              <w:rPr>
                <w:color w:val="334155"/>
                <w:sz w:val="20"/>
              </w:rPr>
              <w:t>3-4 weeks</w:t>
            </w:r>
          </w:p>
        </w:tc>
      </w:tr>
    </w:tbl>
    <w:p>
      <w:pPr>
        <w:spacing w:before="80" w:after="160"/>
      </w:pPr>
    </w:p>
    <w:p>
      <w:pPr>
        <w:pStyle w:val="Heading2"/>
      </w:pPr>
      <w:r>
        <w:t>Portfolio Narrative</w:t>
      </w:r>
    </w:p>
    <w:p>
      <w:r>
        <w:t>This project demonstrates the ability to connect commercial strategy with executive communication. It shows that pricing work is most valuable when it clarifies broader strategic choices: customer focus, product packaging, infrastructure advantage, and go-to-market logic.</w:t>
      </w:r>
    </w:p>
    <w:p>
      <w:r>
        <w:t>The portfolio strength is the synthesis. The work turns scattered commercial signals into a structured executive brief that helps leadership act. It combines pricing strategy, fintech understanding, UX clarity, and business judgment in one coherent artifact.</w:t>
      </w:r>
    </w:p>
    <w:p>
      <w:pPr>
        <w:pStyle w:val="Heading2"/>
      </w:pPr>
      <w:r>
        <w:t>Final Conclusion</w:t>
      </w:r>
    </w:p>
    <w:p>
      <w:r>
        <w:t>Pricing-Led Fintech Strategy Executive Brief shows how monetization can become a strategy discipline rather than a pricing exercise. By connecting segmentation, infrastructure value, and executive positioning, the project gives leadership a practical path to sharper differentiation and stronger revenue logic. It is portfolio-ready because it demonstrates strategy, commercial rigor, and decision-ready communication.</w:t>
      </w:r>
    </w:p>
    <w:p>
      <w:pPr>
        <w:pageBreakBefore/>
      </w:pPr>
    </w:p>
    <w:p>
      <w:pPr>
        <w:pStyle w:val="Heading1"/>
      </w:pPr>
      <w:r>
        <w:t>Project 5: Marketplace Embedded Finance Product Strategy</w:t>
      </w:r>
      <w:bookmarkStart w:name="_P5" w:id="5"/>
      <w:bookmarkEnd w:id="5"/>
    </w:p>
    <w:p>
      <w:r>
        <w:rPr>
          <w:b/>
        </w:rPr>
        <w:t>Strategic Subtitle: </w:t>
      </w:r>
      <w:r>
        <w:t>Converting marketplace GMV into lending, payments, insurance, and FX revenue layers</w:t>
      </w:r>
    </w:p>
    <w:p>
      <w:r>
        <w:rPr>
          <w:b/>
        </w:rPr>
        <w:t>Commercial Promise: </w:t>
      </w:r>
      <w:r>
        <w:t>A product strategy that turns marketplace workflow data into financial products, stronger merchant relationships, and defensible revenue expansion.</w:t>
      </w:r>
    </w:p>
    <w:p>
      <w:r>
        <w:rPr>
          <w:b/>
        </w:rPr>
        <w:t>Category: </w:t>
      </w:r>
      <w:r>
        <w:t>Embedded Finance Product Strategy, Marketplace Monetization, Fintech UX, Operating Model Design</w:t>
      </w:r>
    </w:p>
    <w:p>
      <w:r>
        <w:rPr>
          <w:b/>
        </w:rPr>
        <w:t>Context: </w:t>
      </w:r>
      <w:r>
        <w:t>LatAm B2B marketplace, commerce platform, logistics marketplace, procurement network, or vertical SaaS platform serving SMEs.</w:t>
      </w:r>
    </w:p>
    <w:p>
      <w:pPr>
        <w:pStyle w:val="Heading2"/>
      </w:pPr>
      <w:r>
        <w:t>Executive Summary</w:t>
      </w:r>
    </w:p>
    <w:p>
      <w:r>
        <w:t>This project reframed embedded finance from an investment thesis into an operator-ready product strategy. The central insight was that a B2B marketplace already captures the data needed to serve merchants financially: order flow, purchase history, supplier reliability, inventory cycles, repayment behavior, and transaction frequency.</w:t>
      </w:r>
    </w:p>
    <w:p>
      <w:r>
        <w:t>The strategy showed how marketplace GMV can support multiple financial revenue layers, including working-capital lending, embedded payments, insurance, and cross-border FX. Rather than launching financial products as disconnected add-ons, the model embedded them into the existing commerce workflow and used marketplace data to improve relevance, timing, and risk selection.</w:t>
      </w:r>
    </w:p>
    <w:p>
      <w:r>
        <w:t>The value created was a practical roadmap for monetizing marketplace activity beyond take rate. The case demonstrates product strategy, fintech operating-model design, UX thinking, risk control, and commercial logic.</w:t>
      </w:r>
    </w:p>
    <w:p>
      <w:pPr>
        <w:pStyle w:val="Heading2"/>
      </w:pPr>
      <w:r>
        <w:t>Project Context</w:t>
      </w:r>
    </w:p>
    <w:p>
      <w:r>
        <w:t>The client environment was a B2B marketplace with recurring SME transactions, supplier relationships, logistics activity, and payment flows. The marketplace had meaningful GMV, but revenue was concentrated in commerce fees and limited ancillary services.</w:t>
      </w:r>
    </w:p>
    <w:p>
      <w:r>
        <w:t>Existing pain points included: merchants needed working capital to finance inventory and growth; payments and collections created friction across buyers and suppliers; insurance needs were connected to cargo, equipment, business interruption, and credit exposure; cross-border activity introduced currency and settlement complexity; the platform had valuable transaction data but lacked a product strategy for converting it into financial services.</w:t>
      </w:r>
    </w:p>
    <w:p>
      <w:r>
        <w:t>The project was necessary because the marketplace had a data and distribution advantage but needed a disciplined product architecture to monetize it safely.</w:t>
      </w:r>
    </w:p>
    <w:p>
      <w:pPr>
        <w:pStyle w:val="Heading2"/>
      </w:pPr>
      <w:r>
        <w:t>Problem Statement</w:t>
      </w:r>
    </w:p>
    <w:p>
      <w:r>
        <w:t>The core problem was that the marketplace was capturing commerce activity without fully monetizing the financial needs created by that activity. Merchants used the platform to transact, buy inventory, manage suppliers, and generate repayment signals, but then left the workflow to seek financing, payments support, insurance, or FX services elsewhere.</w:t>
      </w:r>
    </w:p>
    <w:p>
      <w:r>
        <w:t>This created friction for merchants and missed margin opportunities for the marketplace. Without an embedded finance strategy, the platform risked remaining a transaction venue rather than becoming an operating system for SME commerce.</w:t>
      </w:r>
    </w:p>
    <w:p>
      <w:pPr>
        <w:pStyle w:val="Heading2"/>
      </w:pPr>
      <w:r>
        <w:t>Project Goals</w:t>
      </w:r>
    </w:p>
    <w:p>
      <w:pPr>
        <w:ind w:left="720"/>
      </w:pPr>
      <w:r>
        <w:t>• Define embedded finance product layers: Identify lending, payments, insurance, and FX opportunities tied to marketplace GMV.</w:t>
      </w:r>
    </w:p>
    <w:p>
      <w:pPr>
        <w:ind w:left="720"/>
      </w:pPr>
      <w:r>
        <w:t>• Improve merchant experience: Offer financial products inside the workflow where need arises.</w:t>
      </w:r>
    </w:p>
    <w:p>
      <w:pPr>
        <w:ind w:left="720"/>
      </w:pPr>
      <w:r>
        <w:t>• Create revenue diversification: Build financial-margin streams beyond marketplace take rate.</w:t>
      </w:r>
    </w:p>
    <w:p>
      <w:pPr>
        <w:ind w:left="720"/>
      </w:pPr>
      <w:r>
        <w:t>• Use data responsibly: Convert transaction behavior into underwriting and product eligibility signals.</w:t>
      </w:r>
    </w:p>
    <w:p>
      <w:pPr>
        <w:ind w:left="720"/>
      </w:pPr>
      <w:r>
        <w:t>• Reduce product risk: Define review, partner, compliance, and exposure controls.</w:t>
      </w:r>
    </w:p>
    <w:p>
      <w:pPr>
        <w:ind w:left="720"/>
      </w:pPr>
      <w:r>
        <w:t>• Strengthen marketplace defensibility: Make the platform more valuable and harder to displace.</w:t>
      </w:r>
    </w:p>
    <w:p>
      <w:pPr>
        <w:ind w:left="720"/>
      </w:pPr>
      <w:r>
        <w:t>• Build rollout logic: Sequence financial products by readiness, risk, margin, and merchant need.</w:t>
      </w:r>
    </w:p>
    <w:p>
      <w:pPr>
        <w:pStyle w:val="Heading2"/>
      </w:pPr>
      <w:r>
        <w:t>Strategic Approach</w:t>
      </w:r>
    </w:p>
    <w:p>
      <w:r>
        <w:t>The methodology used product strategy, service blueprinting, risk architecture, and financial product prioritization:</w:t>
      </w:r>
    </w:p>
    <w:p>
      <w:pPr>
        <w:ind w:left="720"/>
      </w:pPr>
      <w:r>
        <w:t>1. Discovery: Reviewed marketplace participants, GMV flows, merchant pain points, transaction data, and existing monetization.</w:t>
      </w:r>
    </w:p>
    <w:p>
      <w:pPr>
        <w:ind w:left="720"/>
      </w:pPr>
      <w:r>
        <w:t>2. Stakeholder analysis: Mapped merchants, suppliers, logistics partners, finance partners, insurers, payment providers, and platform operations.</w:t>
      </w:r>
    </w:p>
    <w:p>
      <w:pPr>
        <w:ind w:left="720"/>
      </w:pPr>
      <w:r>
        <w:t>3. Workflow mapping: Identified points where financial need emerges inside marketplace activity.</w:t>
      </w:r>
    </w:p>
    <w:p>
      <w:pPr>
        <w:ind w:left="720"/>
      </w:pPr>
      <w:r>
        <w:t>4. Pain point identification: Located merchant finance gaps, payment friction, risk exposure, and cross-border complexity.</w:t>
      </w:r>
    </w:p>
    <w:p>
      <w:pPr>
        <w:ind w:left="720"/>
      </w:pPr>
      <w:r>
        <w:t>5. UX/UI structuring: Designed a product architecture where financial offers appear through dashboards, eligibility signals, and workflow triggers.</w:t>
      </w:r>
    </w:p>
    <w:p>
      <w:pPr>
        <w:ind w:left="720"/>
      </w:pPr>
      <w:r>
        <w:t>6. Risk control definition: Defined partner-bank models, exposure limits, human review, data validation, and compliance requirements.</w:t>
      </w:r>
    </w:p>
    <w:p>
      <w:pPr>
        <w:ind w:left="720"/>
      </w:pPr>
      <w:r>
        <w:t>7. Solution framing: Positioned embedded finance as an extension of marketplace utility, not as a standalone fintech product.</w:t>
      </w:r>
    </w:p>
    <w:p>
      <w:pPr>
        <w:ind w:left="720"/>
      </w:pPr>
      <w:r>
        <w:t>8. Validation logic: Prioritized products using adoption potential, margin, risk, operational complexity, and data readiness.</w:t>
      </w:r>
    </w:p>
    <w:p>
      <w:pPr>
        <w:pStyle w:val="Heading2"/>
      </w:pPr>
      <w:r>
        <w:t>Solution Overview</w:t>
      </w:r>
    </w:p>
    <w:p>
      <w:r>
        <w:t>The solution was a marketplace embedded finance product strategy with four financial layers:</w:t>
      </w:r>
    </w:p>
    <w:p>
      <w:pPr>
        <w:ind w:left="720"/>
      </w:pPr>
      <w:r>
        <w:t>• Working-capital lending: Inventory financing, short-term loans, purchase-order financing, and supplier-payment advances.</w:t>
      </w:r>
    </w:p>
    <w:p>
      <w:pPr>
        <w:ind w:left="720"/>
      </w:pPr>
      <w:r>
        <w:t>• Embedded payments: B2B payments, payouts, digital collections, settlement workflows, and payment reconciliation.</w:t>
      </w:r>
    </w:p>
    <w:p>
      <w:pPr>
        <w:ind w:left="720"/>
      </w:pPr>
      <w:r>
        <w:t>• Insurance: Cargo, credit, business interruption, equipment, and transaction-related coverage.</w:t>
      </w:r>
    </w:p>
    <w:p>
      <w:pPr>
        <w:ind w:left="720"/>
      </w:pPr>
      <w:r>
        <w:t>• FX: Cross-border payments, currency conversion, hedging support, and settlement-risk solutions.</w:t>
      </w:r>
    </w:p>
    <w:p>
      <w:r>
        <w:t>The product strategy used marketplace data to trigger relevant offers. For example, repeated purchase cycles could identify inventory-finance need; supplier concentration could inform risk; repayment behavior could improve eligibility; cross-border transaction volume could trigger FX solutions.</w:t>
      </w:r>
    </w:p>
    <w:p>
      <w:r>
        <w:t>The model also defined partner roles. The marketplace would own distribution, data, and user experience, while licensed financial partners could support regulated product delivery where needed.</w:t>
      </w:r>
    </w:p>
    <w:p>
      <w:pPr>
        <w:pStyle w:val="Heading2"/>
      </w:pPr>
      <w:r>
        <w:t>UX/UI and Design Decisions</w:t>
      </w:r>
    </w:p>
    <w:p>
      <w:r>
        <w:t>The design direction used a dark navy financial-operations interface with cyan data flows and green eligibility or approval signals. The interface logic emphasized trust, timing, and transparency.</w:t>
      </w:r>
    </w:p>
    <w:p>
      <w:r>
        <w:t>Key decisions: Information architecture organized the experience around marketplace activity, financial eligibility, product offers, and risk status; visual hierarchy surfaced relevant financial products only when data indicates need or eligibility; workflow integration placed lending, payments, insurance, and FX within existing merchant tasks instead of separate portals; trust-building explained eligibility, terms, limits, and review status clearly; decision support provided merchants with dashboards showing repayment performance, credit availability, pending payouts, and coverage options; complexity simplification translated multiple financial products into a single marketplace finance layer.</w:t>
      </w:r>
    </w:p>
    <w:p>
      <w:r>
        <w:t>The design supports decision-making by helping merchants understand what they qualify for, why it matters, and how it connects to their operating behavior.</w:t>
      </w:r>
    </w:p>
    <w:p>
      <w:pPr>
        <w:pStyle w:val="Heading2"/>
      </w:pPr>
      <w:r>
        <w:t>Workflow or Operating Model</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1400"/>
        <w:gridCol w:w="2400"/>
        <w:gridCol w:w="2400"/>
        <w:gridCol w:w="1800"/>
        <w:gridCol w:w="2000"/>
      </w:tblGrid>
      <w:tr>
        <w:trPr>
          <w:tblHeader/>
        </w:trPr>
        <w:tc>
          <w:tcPr>
            <w:tcW w:w="1400" w:type="dxa"/>
            <w:shd w:val="clear" w:fill="f1f5f9"/>
          </w:tcPr>
          <w:p>
            <w:pPr>
              <w:spacing w:before="60" w:after="60"/>
              <w:jc w:val="left"/>
            </w:pPr>
            <w:r>
              <w:rPr>
                <w:b/>
                <w:color w:val="0f172a"/>
                <w:sz w:val="20"/>
              </w:rPr>
              <w:t>Step</w:t>
            </w:r>
          </w:p>
        </w:tc>
        <w:tc>
          <w:tcPr>
            <w:tcW w:w="2400" w:type="dxa"/>
            <w:shd w:val="clear" w:fill="f1f5f9"/>
          </w:tcPr>
          <w:p>
            <w:pPr>
              <w:spacing w:before="60" w:after="60"/>
              <w:jc w:val="left"/>
            </w:pPr>
            <w:r>
              <w:rPr>
                <w:b/>
                <w:color w:val="0f172a"/>
                <w:sz w:val="20"/>
              </w:rPr>
              <w:t>Input</w:t>
            </w:r>
          </w:p>
        </w:tc>
        <w:tc>
          <w:tcPr>
            <w:tcW w:w="2400" w:type="dxa"/>
            <w:shd w:val="clear" w:fill="f1f5f9"/>
          </w:tcPr>
          <w:p>
            <w:pPr>
              <w:spacing w:before="60" w:after="60"/>
              <w:jc w:val="left"/>
            </w:pPr>
            <w:r>
              <w:rPr>
                <w:b/>
                <w:color w:val="0f172a"/>
                <w:sz w:val="20"/>
              </w:rPr>
              <w:t>Platform Action</w:t>
            </w:r>
          </w:p>
        </w:tc>
        <w:tc>
          <w:tcPr>
            <w:tcW w:w="1800" w:type="dxa"/>
            <w:shd w:val="clear" w:fill="f1f5f9"/>
          </w:tcPr>
          <w:p>
            <w:pPr>
              <w:spacing w:before="60" w:after="60"/>
              <w:jc w:val="left"/>
            </w:pPr>
            <w:r>
              <w:rPr>
                <w:b/>
                <w:color w:val="0f172a"/>
                <w:sz w:val="20"/>
              </w:rPr>
              <w:t>Output</w:t>
            </w:r>
          </w:p>
        </w:tc>
        <w:tc>
          <w:tcPr>
            <w:tcW w:w="2000" w:type="dxa"/>
            <w:shd w:val="clear" w:fill="f1f5f9"/>
          </w:tcPr>
          <w:p>
            <w:pPr>
              <w:spacing w:before="60" w:after="60"/>
              <w:jc w:val="left"/>
            </w:pPr>
            <w:r>
              <w:rPr>
                <w:b/>
                <w:color w:val="0f172a"/>
                <w:sz w:val="20"/>
              </w:rPr>
              <w:t>Control</w:t>
            </w:r>
          </w:p>
        </w:tc>
      </w:tr>
      <w:tr>
        <w:tc>
          <w:tcPr>
            <w:tcW w:w="1400" w:type="dxa"/>
          </w:tcPr>
          <w:p>
            <w:pPr>
              <w:spacing w:before="40" w:after="40"/>
              <w:jc w:val="left"/>
            </w:pPr>
            <w:r>
              <w:rPr>
                <w:color w:val="334155"/>
                <w:sz w:val="20"/>
              </w:rPr>
              <w:t>1. Capture commerce activity</w:t>
            </w:r>
          </w:p>
        </w:tc>
        <w:tc>
          <w:tcPr>
            <w:tcW w:w="2400" w:type="dxa"/>
          </w:tcPr>
          <w:p>
            <w:pPr>
              <w:spacing w:before="40" w:after="40"/>
              <w:jc w:val="left"/>
            </w:pPr>
            <w:r>
              <w:rPr>
                <w:color w:val="334155"/>
                <w:sz w:val="20"/>
              </w:rPr>
              <w:t>Orders, GMV, suppliers, payments, inventory cycles</w:t>
            </w:r>
          </w:p>
        </w:tc>
        <w:tc>
          <w:tcPr>
            <w:tcW w:w="2400" w:type="dxa"/>
          </w:tcPr>
          <w:p>
            <w:pPr>
              <w:spacing w:before="40" w:after="40"/>
              <w:jc w:val="left"/>
            </w:pPr>
            <w:r>
              <w:rPr>
                <w:color w:val="334155"/>
                <w:sz w:val="20"/>
              </w:rPr>
              <w:t>Build merchant operating profile</w:t>
            </w:r>
          </w:p>
        </w:tc>
        <w:tc>
          <w:tcPr>
            <w:tcW w:w="1800" w:type="dxa"/>
          </w:tcPr>
          <w:p>
            <w:pPr>
              <w:spacing w:before="40" w:after="40"/>
              <w:jc w:val="left"/>
            </w:pPr>
            <w:r>
              <w:rPr>
                <w:color w:val="334155"/>
                <w:sz w:val="20"/>
              </w:rPr>
              <w:t>Transaction data layer</w:t>
            </w:r>
          </w:p>
        </w:tc>
        <w:tc>
          <w:tcPr>
            <w:tcW w:w="2000" w:type="dxa"/>
          </w:tcPr>
          <w:p>
            <w:pPr>
              <w:spacing w:before="40" w:after="40"/>
              <w:jc w:val="left"/>
            </w:pPr>
            <w:r>
              <w:rPr>
                <w:color w:val="334155"/>
                <w:sz w:val="20"/>
              </w:rPr>
              <w:t>Data integrity checks</w:t>
            </w:r>
          </w:p>
        </w:tc>
      </w:tr>
      <w:tr>
        <w:tc>
          <w:tcPr>
            <w:tcW w:w="1400" w:type="dxa"/>
          </w:tcPr>
          <w:p>
            <w:pPr>
              <w:spacing w:before="40" w:after="40"/>
              <w:jc w:val="left"/>
            </w:pPr>
            <w:r>
              <w:rPr>
                <w:color w:val="334155"/>
                <w:sz w:val="20"/>
              </w:rPr>
              <w:t>2. Detect financial need</w:t>
            </w:r>
          </w:p>
        </w:tc>
        <w:tc>
          <w:tcPr>
            <w:tcW w:w="2400" w:type="dxa"/>
          </w:tcPr>
          <w:p>
            <w:pPr>
              <w:spacing w:before="40" w:after="40"/>
              <w:jc w:val="left"/>
            </w:pPr>
            <w:r>
              <w:rPr>
                <w:color w:val="334155"/>
                <w:sz w:val="20"/>
              </w:rPr>
              <w:t>Purchase frequency, working-capital gaps, cross-border activity</w:t>
            </w:r>
          </w:p>
        </w:tc>
        <w:tc>
          <w:tcPr>
            <w:tcW w:w="2400" w:type="dxa"/>
          </w:tcPr>
          <w:p>
            <w:pPr>
              <w:spacing w:before="40" w:after="40"/>
              <w:jc w:val="left"/>
            </w:pPr>
            <w:r>
              <w:rPr>
                <w:color w:val="334155"/>
                <w:sz w:val="20"/>
              </w:rPr>
              <w:t>Identify product triggers</w:t>
            </w:r>
          </w:p>
        </w:tc>
        <w:tc>
          <w:tcPr>
            <w:tcW w:w="1800" w:type="dxa"/>
          </w:tcPr>
          <w:p>
            <w:pPr>
              <w:spacing w:before="40" w:after="40"/>
              <w:jc w:val="left"/>
            </w:pPr>
            <w:r>
              <w:rPr>
                <w:color w:val="334155"/>
                <w:sz w:val="20"/>
              </w:rPr>
              <w:t>Need signal</w:t>
            </w:r>
          </w:p>
        </w:tc>
        <w:tc>
          <w:tcPr>
            <w:tcW w:w="2000" w:type="dxa"/>
          </w:tcPr>
          <w:p>
            <w:pPr>
              <w:spacing w:before="40" w:after="40"/>
              <w:jc w:val="left"/>
            </w:pPr>
            <w:r>
              <w:rPr>
                <w:color w:val="334155"/>
                <w:sz w:val="20"/>
              </w:rPr>
              <w:t>Product eligibility rules</w:t>
            </w:r>
          </w:p>
        </w:tc>
      </w:tr>
      <w:tr>
        <w:tc>
          <w:tcPr>
            <w:tcW w:w="1400" w:type="dxa"/>
          </w:tcPr>
          <w:p>
            <w:pPr>
              <w:spacing w:before="40" w:after="40"/>
              <w:jc w:val="left"/>
            </w:pPr>
            <w:r>
              <w:rPr>
                <w:color w:val="334155"/>
                <w:sz w:val="20"/>
              </w:rPr>
              <w:t>3. Score eligibility</w:t>
            </w:r>
          </w:p>
        </w:tc>
        <w:tc>
          <w:tcPr>
            <w:tcW w:w="2400" w:type="dxa"/>
          </w:tcPr>
          <w:p>
            <w:pPr>
              <w:spacing w:before="40" w:after="40"/>
              <w:jc w:val="left"/>
            </w:pPr>
            <w:r>
              <w:rPr>
                <w:color w:val="334155"/>
                <w:sz w:val="20"/>
              </w:rPr>
              <w:t>Repayment behavior, transaction stability, supplier reliability</w:t>
            </w:r>
          </w:p>
        </w:tc>
        <w:tc>
          <w:tcPr>
            <w:tcW w:w="2400" w:type="dxa"/>
          </w:tcPr>
          <w:p>
            <w:pPr>
              <w:spacing w:before="40" w:after="40"/>
              <w:jc w:val="left"/>
            </w:pPr>
            <w:r>
              <w:rPr>
                <w:color w:val="334155"/>
                <w:sz w:val="20"/>
              </w:rPr>
              <w:t>Estimate risk and suitable product</w:t>
            </w:r>
          </w:p>
        </w:tc>
        <w:tc>
          <w:tcPr>
            <w:tcW w:w="1800" w:type="dxa"/>
          </w:tcPr>
          <w:p>
            <w:pPr>
              <w:spacing w:before="40" w:after="40"/>
              <w:jc w:val="left"/>
            </w:pPr>
            <w:r>
              <w:rPr>
                <w:color w:val="334155"/>
                <w:sz w:val="20"/>
              </w:rPr>
              <w:t>Eligibility score</w:t>
            </w:r>
          </w:p>
        </w:tc>
        <w:tc>
          <w:tcPr>
            <w:tcW w:w="2000" w:type="dxa"/>
          </w:tcPr>
          <w:p>
            <w:pPr>
              <w:spacing w:before="40" w:after="40"/>
              <w:jc w:val="left"/>
            </w:pPr>
            <w:r>
              <w:rPr>
                <w:color w:val="334155"/>
                <w:sz w:val="20"/>
              </w:rPr>
              <w:t>Exposure and confidence thresholds</w:t>
            </w:r>
          </w:p>
        </w:tc>
      </w:tr>
      <w:tr>
        <w:tc>
          <w:tcPr>
            <w:tcW w:w="1400" w:type="dxa"/>
          </w:tcPr>
          <w:p>
            <w:pPr>
              <w:spacing w:before="40" w:after="40"/>
              <w:jc w:val="left"/>
            </w:pPr>
            <w:r>
              <w:rPr>
                <w:color w:val="334155"/>
                <w:sz w:val="20"/>
              </w:rPr>
              <w:t>4. Present offer</w:t>
            </w:r>
          </w:p>
        </w:tc>
        <w:tc>
          <w:tcPr>
            <w:tcW w:w="2400" w:type="dxa"/>
          </w:tcPr>
          <w:p>
            <w:pPr>
              <w:spacing w:before="40" w:after="40"/>
              <w:jc w:val="left"/>
            </w:pPr>
            <w:r>
              <w:rPr>
                <w:color w:val="334155"/>
                <w:sz w:val="20"/>
              </w:rPr>
              <w:t>Product trigger and eligibility</w:t>
            </w:r>
          </w:p>
        </w:tc>
        <w:tc>
          <w:tcPr>
            <w:tcW w:w="2400" w:type="dxa"/>
          </w:tcPr>
          <w:p>
            <w:pPr>
              <w:spacing w:before="40" w:after="40"/>
              <w:jc w:val="left"/>
            </w:pPr>
            <w:r>
              <w:rPr>
                <w:color w:val="334155"/>
                <w:sz w:val="20"/>
              </w:rPr>
              <w:t>Show lending, payment, insurance, or FX offer</w:t>
            </w:r>
          </w:p>
        </w:tc>
        <w:tc>
          <w:tcPr>
            <w:tcW w:w="1800" w:type="dxa"/>
          </w:tcPr>
          <w:p>
            <w:pPr>
              <w:spacing w:before="40" w:after="40"/>
              <w:jc w:val="left"/>
            </w:pPr>
            <w:r>
              <w:rPr>
                <w:color w:val="334155"/>
                <w:sz w:val="20"/>
              </w:rPr>
              <w:t>Embedded financial offer</w:t>
            </w:r>
          </w:p>
        </w:tc>
        <w:tc>
          <w:tcPr>
            <w:tcW w:w="2000" w:type="dxa"/>
          </w:tcPr>
          <w:p>
            <w:pPr>
              <w:spacing w:before="40" w:after="40"/>
              <w:jc w:val="left"/>
            </w:pPr>
            <w:r>
              <w:rPr>
                <w:color w:val="334155"/>
                <w:sz w:val="20"/>
              </w:rPr>
              <w:t>Clear terms and disclosures</w:t>
            </w:r>
          </w:p>
        </w:tc>
      </w:tr>
      <w:tr>
        <w:tc>
          <w:tcPr>
            <w:tcW w:w="1400" w:type="dxa"/>
          </w:tcPr>
          <w:p>
            <w:pPr>
              <w:spacing w:before="40" w:after="40"/>
              <w:jc w:val="left"/>
            </w:pPr>
            <w:r>
              <w:rPr>
                <w:color w:val="334155"/>
                <w:sz w:val="20"/>
              </w:rPr>
              <w:t>5. Review and fulfill</w:t>
            </w:r>
          </w:p>
        </w:tc>
        <w:tc>
          <w:tcPr>
            <w:tcW w:w="2400" w:type="dxa"/>
          </w:tcPr>
          <w:p>
            <w:pPr>
              <w:spacing w:before="40" w:after="40"/>
              <w:jc w:val="left"/>
            </w:pPr>
            <w:r>
              <w:rPr>
                <w:color w:val="334155"/>
                <w:sz w:val="20"/>
              </w:rPr>
              <w:t>Merchant acceptance and partner workflow</w:t>
            </w:r>
          </w:p>
        </w:tc>
        <w:tc>
          <w:tcPr>
            <w:tcW w:w="2400" w:type="dxa"/>
          </w:tcPr>
          <w:p>
            <w:pPr>
              <w:spacing w:before="40" w:after="40"/>
              <w:jc w:val="left"/>
            </w:pPr>
            <w:r>
              <w:rPr>
                <w:color w:val="334155"/>
                <w:sz w:val="20"/>
              </w:rPr>
              <w:t>Route to partner or internal process</w:t>
            </w:r>
          </w:p>
        </w:tc>
        <w:tc>
          <w:tcPr>
            <w:tcW w:w="1800" w:type="dxa"/>
          </w:tcPr>
          <w:p>
            <w:pPr>
              <w:spacing w:before="40" w:after="40"/>
              <w:jc w:val="left"/>
            </w:pPr>
            <w:r>
              <w:rPr>
                <w:color w:val="334155"/>
                <w:sz w:val="20"/>
              </w:rPr>
              <w:t>Product activation</w:t>
            </w:r>
          </w:p>
        </w:tc>
        <w:tc>
          <w:tcPr>
            <w:tcW w:w="2000" w:type="dxa"/>
          </w:tcPr>
          <w:p>
            <w:pPr>
              <w:spacing w:before="40" w:after="40"/>
              <w:jc w:val="left"/>
            </w:pPr>
            <w:r>
              <w:rPr>
                <w:color w:val="334155"/>
                <w:sz w:val="20"/>
              </w:rPr>
              <w:t>Compliance and human review</w:t>
            </w:r>
          </w:p>
        </w:tc>
      </w:tr>
      <w:tr>
        <w:tc>
          <w:tcPr>
            <w:tcW w:w="1400" w:type="dxa"/>
          </w:tcPr>
          <w:p>
            <w:pPr>
              <w:spacing w:before="40" w:after="40"/>
              <w:jc w:val="left"/>
            </w:pPr>
            <w:r>
              <w:rPr>
                <w:color w:val="334155"/>
                <w:sz w:val="20"/>
              </w:rPr>
              <w:t>6. Monitor performance</w:t>
            </w:r>
          </w:p>
        </w:tc>
        <w:tc>
          <w:tcPr>
            <w:tcW w:w="2400" w:type="dxa"/>
          </w:tcPr>
          <w:p>
            <w:pPr>
              <w:spacing w:before="40" w:after="40"/>
              <w:jc w:val="left"/>
            </w:pPr>
            <w:r>
              <w:rPr>
                <w:color w:val="334155"/>
                <w:sz w:val="20"/>
              </w:rPr>
              <w:t>Repayment, usage, claims, settlement</w:t>
            </w:r>
          </w:p>
        </w:tc>
        <w:tc>
          <w:tcPr>
            <w:tcW w:w="2400" w:type="dxa"/>
          </w:tcPr>
          <w:p>
            <w:pPr>
              <w:spacing w:before="40" w:after="40"/>
              <w:jc w:val="left"/>
            </w:pPr>
            <w:r>
              <w:rPr>
                <w:color w:val="334155"/>
                <w:sz w:val="20"/>
              </w:rPr>
              <w:t>Track risk and product impact</w:t>
            </w:r>
          </w:p>
        </w:tc>
        <w:tc>
          <w:tcPr>
            <w:tcW w:w="1800" w:type="dxa"/>
          </w:tcPr>
          <w:p>
            <w:pPr>
              <w:spacing w:before="40" w:after="40"/>
              <w:jc w:val="left"/>
            </w:pPr>
            <w:r>
              <w:rPr>
                <w:color w:val="334155"/>
                <w:sz w:val="20"/>
              </w:rPr>
              <w:t>Dashboard and risk alerts</w:t>
            </w:r>
          </w:p>
        </w:tc>
        <w:tc>
          <w:tcPr>
            <w:tcW w:w="2000" w:type="dxa"/>
          </w:tcPr>
          <w:p>
            <w:pPr>
              <w:spacing w:before="40" w:after="40"/>
              <w:jc w:val="left"/>
            </w:pPr>
            <w:r>
              <w:rPr>
                <w:color w:val="334155"/>
                <w:sz w:val="20"/>
              </w:rPr>
              <w:t>Portfolio monitoring</w:t>
            </w:r>
          </w:p>
        </w:tc>
      </w:tr>
    </w:tbl>
    <w:p>
      <w:pPr>
        <w:spacing w:before="80" w:after="160"/>
      </w:pPr>
    </w:p>
    <w:p>
      <w:pPr>
        <w:pStyle w:val="Heading2"/>
      </w:pPr>
      <w:r>
        <w:t>Before / After Analysis</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200"/>
        <w:gridCol w:w="2800"/>
        <w:gridCol w:w="2800"/>
        <w:gridCol w:w="2200"/>
      </w:tblGrid>
      <w:tr>
        <w:trPr>
          <w:tblHeader/>
        </w:trPr>
        <w:tc>
          <w:tcPr>
            <w:tcW w:w="2200" w:type="dxa"/>
            <w:shd w:val="clear" w:fill="f1f5f9"/>
          </w:tcPr>
          <w:p>
            <w:pPr>
              <w:spacing w:before="60" w:after="60"/>
              <w:jc w:val="left"/>
            </w:pPr>
            <w:r>
              <w:rPr>
                <w:b/>
                <w:color w:val="0f172a"/>
                <w:sz w:val="20"/>
              </w:rPr>
              <w:t>Dimension</w:t>
            </w:r>
          </w:p>
        </w:tc>
        <w:tc>
          <w:tcPr>
            <w:tcW w:w="2800" w:type="dxa"/>
            <w:shd w:val="clear" w:fill="f1f5f9"/>
          </w:tcPr>
          <w:p>
            <w:pPr>
              <w:spacing w:before="60" w:after="60"/>
              <w:jc w:val="left"/>
            </w:pPr>
            <w:r>
              <w:rPr>
                <w:b/>
                <w:color w:val="0f172a"/>
                <w:sz w:val="20"/>
              </w:rPr>
              <w:t>Before</w:t>
            </w:r>
          </w:p>
        </w:tc>
        <w:tc>
          <w:tcPr>
            <w:tcW w:w="2800" w:type="dxa"/>
            <w:shd w:val="clear" w:fill="f1f5f9"/>
          </w:tcPr>
          <w:p>
            <w:pPr>
              <w:spacing w:before="60" w:after="60"/>
              <w:jc w:val="left"/>
            </w:pPr>
            <w:r>
              <w:rPr>
                <w:b/>
                <w:color w:val="0f172a"/>
                <w:sz w:val="20"/>
              </w:rPr>
              <w:t>After</w:t>
            </w:r>
          </w:p>
        </w:tc>
        <w:tc>
          <w:tcPr>
            <w:tcW w:w="2200" w:type="dxa"/>
            <w:shd w:val="clear" w:fill="f1f5f9"/>
          </w:tcPr>
          <w:p>
            <w:pPr>
              <w:spacing w:before="60" w:after="60"/>
              <w:jc w:val="left"/>
            </w:pPr>
            <w:r>
              <w:rPr>
                <w:b/>
                <w:color w:val="0f172a"/>
                <w:sz w:val="20"/>
              </w:rPr>
              <w:t>Business Impact</w:t>
            </w:r>
          </w:p>
        </w:tc>
      </w:tr>
      <w:tr>
        <w:tc>
          <w:tcPr>
            <w:tcW w:w="2200" w:type="dxa"/>
          </w:tcPr>
          <w:p>
            <w:pPr>
              <w:spacing w:before="40" w:after="40"/>
              <w:jc w:val="left"/>
            </w:pPr>
            <w:r>
              <w:rPr>
                <w:color w:val="334155"/>
                <w:sz w:val="20"/>
              </w:rPr>
              <w:t>Merchant finance</w:t>
            </w:r>
          </w:p>
        </w:tc>
        <w:tc>
          <w:tcPr>
            <w:tcW w:w="2800" w:type="dxa"/>
          </w:tcPr>
          <w:p>
            <w:pPr>
              <w:spacing w:before="40" w:after="40"/>
              <w:jc w:val="left"/>
            </w:pPr>
            <w:r>
              <w:rPr>
                <w:color w:val="334155"/>
                <w:sz w:val="20"/>
              </w:rPr>
              <w:t>External and fragmented</w:t>
            </w:r>
          </w:p>
        </w:tc>
        <w:tc>
          <w:tcPr>
            <w:tcW w:w="2800" w:type="dxa"/>
          </w:tcPr>
          <w:p>
            <w:pPr>
              <w:spacing w:before="40" w:after="40"/>
              <w:jc w:val="left"/>
            </w:pPr>
            <w:r>
              <w:rPr>
                <w:color w:val="334155"/>
                <w:sz w:val="20"/>
              </w:rPr>
              <w:t>Embedded inside marketplace workflow</w:t>
            </w:r>
          </w:p>
        </w:tc>
        <w:tc>
          <w:tcPr>
            <w:tcW w:w="2200" w:type="dxa"/>
          </w:tcPr>
          <w:p>
            <w:pPr>
              <w:spacing w:before="40" w:after="40"/>
              <w:jc w:val="left"/>
            </w:pPr>
            <w:r>
              <w:rPr>
                <w:color w:val="334155"/>
                <w:sz w:val="20"/>
              </w:rPr>
              <w:t>Lower friction and higher adoption</w:t>
            </w:r>
          </w:p>
        </w:tc>
      </w:tr>
      <w:tr>
        <w:tc>
          <w:tcPr>
            <w:tcW w:w="2200" w:type="dxa"/>
          </w:tcPr>
          <w:p>
            <w:pPr>
              <w:spacing w:before="40" w:after="40"/>
              <w:jc w:val="left"/>
            </w:pPr>
            <w:r>
              <w:rPr>
                <w:color w:val="334155"/>
                <w:sz w:val="20"/>
              </w:rPr>
              <w:t>Revenue model</w:t>
            </w:r>
          </w:p>
        </w:tc>
        <w:tc>
          <w:tcPr>
            <w:tcW w:w="2800" w:type="dxa"/>
          </w:tcPr>
          <w:p>
            <w:pPr>
              <w:spacing w:before="40" w:after="40"/>
              <w:jc w:val="left"/>
            </w:pPr>
            <w:r>
              <w:rPr>
                <w:color w:val="334155"/>
                <w:sz w:val="20"/>
              </w:rPr>
              <w:t>Commerce fees only</w:t>
            </w:r>
          </w:p>
        </w:tc>
        <w:tc>
          <w:tcPr>
            <w:tcW w:w="2800" w:type="dxa"/>
          </w:tcPr>
          <w:p>
            <w:pPr>
              <w:spacing w:before="40" w:after="40"/>
              <w:jc w:val="left"/>
            </w:pPr>
            <w:r>
              <w:rPr>
                <w:color w:val="334155"/>
                <w:sz w:val="20"/>
              </w:rPr>
              <w:t>Multiple financial-margin streams</w:t>
            </w:r>
          </w:p>
        </w:tc>
        <w:tc>
          <w:tcPr>
            <w:tcW w:w="2200" w:type="dxa"/>
          </w:tcPr>
          <w:p>
            <w:pPr>
              <w:spacing w:before="40" w:after="40"/>
              <w:jc w:val="left"/>
            </w:pPr>
            <w:r>
              <w:rPr>
                <w:color w:val="334155"/>
                <w:sz w:val="20"/>
              </w:rPr>
              <w:t>Better monetization</w:t>
            </w:r>
          </w:p>
        </w:tc>
      </w:tr>
      <w:tr>
        <w:tc>
          <w:tcPr>
            <w:tcW w:w="2200" w:type="dxa"/>
          </w:tcPr>
          <w:p>
            <w:pPr>
              <w:spacing w:before="40" w:after="40"/>
              <w:jc w:val="left"/>
            </w:pPr>
            <w:r>
              <w:rPr>
                <w:color w:val="334155"/>
                <w:sz w:val="20"/>
              </w:rPr>
              <w:t>Data usage</w:t>
            </w:r>
          </w:p>
        </w:tc>
        <w:tc>
          <w:tcPr>
            <w:tcW w:w="2800" w:type="dxa"/>
          </w:tcPr>
          <w:p>
            <w:pPr>
              <w:spacing w:before="40" w:after="40"/>
              <w:jc w:val="left"/>
            </w:pPr>
            <w:r>
              <w:rPr>
                <w:color w:val="334155"/>
                <w:sz w:val="20"/>
              </w:rPr>
              <w:t>Operational reporting</w:t>
            </w:r>
          </w:p>
        </w:tc>
        <w:tc>
          <w:tcPr>
            <w:tcW w:w="2800" w:type="dxa"/>
          </w:tcPr>
          <w:p>
            <w:pPr>
              <w:spacing w:before="40" w:after="40"/>
              <w:jc w:val="left"/>
            </w:pPr>
            <w:r>
              <w:rPr>
                <w:color w:val="334155"/>
                <w:sz w:val="20"/>
              </w:rPr>
              <w:t>Underwriting and eligibility signals</w:t>
            </w:r>
          </w:p>
        </w:tc>
        <w:tc>
          <w:tcPr>
            <w:tcW w:w="2200" w:type="dxa"/>
          </w:tcPr>
          <w:p>
            <w:pPr>
              <w:spacing w:before="40" w:after="40"/>
              <w:jc w:val="left"/>
            </w:pPr>
            <w:r>
              <w:rPr>
                <w:color w:val="334155"/>
                <w:sz w:val="20"/>
              </w:rPr>
              <w:t>Stronger product relevance</w:t>
            </w:r>
          </w:p>
        </w:tc>
      </w:tr>
      <w:tr>
        <w:tc>
          <w:tcPr>
            <w:tcW w:w="2200" w:type="dxa"/>
          </w:tcPr>
          <w:p>
            <w:pPr>
              <w:spacing w:before="40" w:after="40"/>
              <w:jc w:val="left"/>
            </w:pPr>
            <w:r>
              <w:rPr>
                <w:color w:val="334155"/>
                <w:sz w:val="20"/>
              </w:rPr>
              <w:t>Platform defensibility</w:t>
            </w:r>
          </w:p>
        </w:tc>
        <w:tc>
          <w:tcPr>
            <w:tcW w:w="2800" w:type="dxa"/>
          </w:tcPr>
          <w:p>
            <w:pPr>
              <w:spacing w:before="40" w:after="40"/>
              <w:jc w:val="left"/>
            </w:pPr>
            <w:r>
              <w:rPr>
                <w:color w:val="334155"/>
                <w:sz w:val="20"/>
              </w:rPr>
              <w:t>Transaction marketplace</w:t>
            </w:r>
          </w:p>
        </w:tc>
        <w:tc>
          <w:tcPr>
            <w:tcW w:w="2800" w:type="dxa"/>
          </w:tcPr>
          <w:p>
            <w:pPr>
              <w:spacing w:before="40" w:after="40"/>
              <w:jc w:val="left"/>
            </w:pPr>
            <w:r>
              <w:rPr>
                <w:color w:val="334155"/>
                <w:sz w:val="20"/>
              </w:rPr>
              <w:t>Financial operating layer</w:t>
            </w:r>
          </w:p>
        </w:tc>
        <w:tc>
          <w:tcPr>
            <w:tcW w:w="2200" w:type="dxa"/>
          </w:tcPr>
          <w:p>
            <w:pPr>
              <w:spacing w:before="40" w:after="40"/>
              <w:jc w:val="left"/>
            </w:pPr>
            <w:r>
              <w:rPr>
                <w:color w:val="334155"/>
                <w:sz w:val="20"/>
              </w:rPr>
              <w:t>Higher switching costs</w:t>
            </w:r>
          </w:p>
        </w:tc>
      </w:tr>
      <w:tr>
        <w:tc>
          <w:tcPr>
            <w:tcW w:w="2200" w:type="dxa"/>
          </w:tcPr>
          <w:p>
            <w:pPr>
              <w:spacing w:before="40" w:after="40"/>
              <w:jc w:val="left"/>
            </w:pPr>
            <w:r>
              <w:rPr>
                <w:color w:val="334155"/>
                <w:sz w:val="20"/>
              </w:rPr>
              <w:t>User experience</w:t>
            </w:r>
          </w:p>
        </w:tc>
        <w:tc>
          <w:tcPr>
            <w:tcW w:w="2800" w:type="dxa"/>
          </w:tcPr>
          <w:p>
            <w:pPr>
              <w:spacing w:before="40" w:after="40"/>
              <w:jc w:val="left"/>
            </w:pPr>
            <w:r>
              <w:rPr>
                <w:color w:val="334155"/>
                <w:sz w:val="20"/>
              </w:rPr>
              <w:t>Separate providers and applications</w:t>
            </w:r>
          </w:p>
        </w:tc>
        <w:tc>
          <w:tcPr>
            <w:tcW w:w="2800" w:type="dxa"/>
          </w:tcPr>
          <w:p>
            <w:pPr>
              <w:spacing w:before="40" w:after="40"/>
              <w:jc w:val="left"/>
            </w:pPr>
            <w:r>
              <w:rPr>
                <w:color w:val="334155"/>
                <w:sz w:val="20"/>
              </w:rPr>
              <w:t>Contextual in-platform offers</w:t>
            </w:r>
          </w:p>
        </w:tc>
        <w:tc>
          <w:tcPr>
            <w:tcW w:w="2200" w:type="dxa"/>
          </w:tcPr>
          <w:p>
            <w:pPr>
              <w:spacing w:before="40" w:after="40"/>
              <w:jc w:val="left"/>
            </w:pPr>
            <w:r>
              <w:rPr>
                <w:color w:val="334155"/>
                <w:sz w:val="20"/>
              </w:rPr>
              <w:t>More seamless merchant journey</w:t>
            </w:r>
          </w:p>
        </w:tc>
      </w:tr>
      <w:tr>
        <w:tc>
          <w:tcPr>
            <w:tcW w:w="2200" w:type="dxa"/>
          </w:tcPr>
          <w:p>
            <w:pPr>
              <w:spacing w:before="40" w:after="40"/>
              <w:jc w:val="left"/>
            </w:pPr>
            <w:r>
              <w:rPr>
                <w:color w:val="334155"/>
                <w:sz w:val="20"/>
              </w:rPr>
              <w:t>Risk management</w:t>
            </w:r>
          </w:p>
        </w:tc>
        <w:tc>
          <w:tcPr>
            <w:tcW w:w="2800" w:type="dxa"/>
          </w:tcPr>
          <w:p>
            <w:pPr>
              <w:spacing w:before="40" w:after="40"/>
              <w:jc w:val="left"/>
            </w:pPr>
            <w:r>
              <w:rPr>
                <w:color w:val="334155"/>
                <w:sz w:val="20"/>
              </w:rPr>
              <w:t>Limited financial-product governance</w:t>
            </w:r>
          </w:p>
        </w:tc>
        <w:tc>
          <w:tcPr>
            <w:tcW w:w="2800" w:type="dxa"/>
          </w:tcPr>
          <w:p>
            <w:pPr>
              <w:spacing w:before="40" w:after="40"/>
              <w:jc w:val="left"/>
            </w:pPr>
            <w:r>
              <w:rPr>
                <w:color w:val="334155"/>
                <w:sz w:val="20"/>
              </w:rPr>
              <w:t>Eligibility, exposure, partner, and review controls</w:t>
            </w:r>
          </w:p>
        </w:tc>
        <w:tc>
          <w:tcPr>
            <w:tcW w:w="2200" w:type="dxa"/>
          </w:tcPr>
          <w:p>
            <w:pPr>
              <w:spacing w:before="40" w:after="40"/>
              <w:jc w:val="left"/>
            </w:pPr>
            <w:r>
              <w:rPr>
                <w:color w:val="334155"/>
                <w:sz w:val="20"/>
              </w:rPr>
              <w:t>Safer rollout</w:t>
            </w:r>
          </w:p>
        </w:tc>
      </w:tr>
    </w:tbl>
    <w:p>
      <w:pPr>
        <w:spacing w:before="80" w:after="160"/>
      </w:pPr>
    </w:p>
    <w:p>
      <w:pPr>
        <w:pStyle w:val="Heading2"/>
      </w:pPr>
      <w:r>
        <w:t>Risk Controls and Governance</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800"/>
        <w:gridCol w:w="7200"/>
      </w:tblGrid>
      <w:tr>
        <w:trPr>
          <w:tblHeader/>
        </w:trPr>
        <w:tc>
          <w:tcPr>
            <w:tcW w:w="2800" w:type="dxa"/>
            <w:shd w:val="clear" w:fill="f1f5f9"/>
          </w:tcPr>
          <w:p>
            <w:pPr>
              <w:spacing w:before="60" w:after="60"/>
              <w:jc w:val="left"/>
            </w:pPr>
            <w:r>
              <w:rPr>
                <w:b/>
                <w:color w:val="0f172a"/>
                <w:sz w:val="20"/>
              </w:rPr>
              <w:t>Control Area</w:t>
            </w:r>
          </w:p>
        </w:tc>
        <w:tc>
          <w:tcPr>
            <w:tcW w:w="7200" w:type="dxa"/>
            <w:shd w:val="clear" w:fill="f1f5f9"/>
          </w:tcPr>
          <w:p>
            <w:pPr>
              <w:spacing w:before="60" w:after="60"/>
              <w:jc w:val="left"/>
            </w:pPr>
            <w:r>
              <w:rPr>
                <w:b/>
                <w:color w:val="0f172a"/>
                <w:sz w:val="20"/>
              </w:rPr>
              <w:t>Governance Design</w:t>
            </w:r>
          </w:p>
        </w:tc>
      </w:tr>
      <w:tr>
        <w:tc>
          <w:tcPr>
            <w:tcW w:w="2800" w:type="dxa"/>
          </w:tcPr>
          <w:p>
            <w:pPr>
              <w:spacing w:before="40" w:after="40"/>
              <w:jc w:val="left"/>
            </w:pPr>
            <w:r>
              <w:rPr>
                <w:color w:val="334155"/>
                <w:sz w:val="20"/>
              </w:rPr>
              <w:t>Credit exposure</w:t>
            </w:r>
          </w:p>
        </w:tc>
        <w:tc>
          <w:tcPr>
            <w:tcW w:w="7200" w:type="dxa"/>
          </w:tcPr>
          <w:p>
            <w:pPr>
              <w:spacing w:before="40" w:after="40"/>
              <w:jc w:val="left"/>
            </w:pPr>
            <w:r>
              <w:rPr>
                <w:color w:val="334155"/>
                <w:sz w:val="20"/>
              </w:rPr>
              <w:t>Limits by merchant, sector, transaction history, and repayment performance</w:t>
            </w:r>
          </w:p>
        </w:tc>
      </w:tr>
      <w:tr>
        <w:tc>
          <w:tcPr>
            <w:tcW w:w="2800" w:type="dxa"/>
          </w:tcPr>
          <w:p>
            <w:pPr>
              <w:spacing w:before="40" w:after="40"/>
              <w:jc w:val="left"/>
            </w:pPr>
            <w:r>
              <w:rPr>
                <w:color w:val="334155"/>
                <w:sz w:val="20"/>
              </w:rPr>
              <w:t>Partner compliance</w:t>
            </w:r>
          </w:p>
        </w:tc>
        <w:tc>
          <w:tcPr>
            <w:tcW w:w="7200" w:type="dxa"/>
          </w:tcPr>
          <w:p>
            <w:pPr>
              <w:spacing w:before="40" w:after="40"/>
              <w:jc w:val="left"/>
            </w:pPr>
            <w:r>
              <w:rPr>
                <w:color w:val="334155"/>
                <w:sz w:val="20"/>
              </w:rPr>
              <w:t>Licensed bank, lender, insurer, or FX partner for regulated activities</w:t>
            </w:r>
          </w:p>
        </w:tc>
      </w:tr>
      <w:tr>
        <w:tc>
          <w:tcPr>
            <w:tcW w:w="2800" w:type="dxa"/>
          </w:tcPr>
          <w:p>
            <w:pPr>
              <w:spacing w:before="40" w:after="40"/>
              <w:jc w:val="left"/>
            </w:pPr>
            <w:r>
              <w:rPr>
                <w:color w:val="334155"/>
                <w:sz w:val="20"/>
              </w:rPr>
              <w:t>Data validation</w:t>
            </w:r>
          </w:p>
        </w:tc>
        <w:tc>
          <w:tcPr>
            <w:tcW w:w="7200" w:type="dxa"/>
          </w:tcPr>
          <w:p>
            <w:pPr>
              <w:spacing w:before="40" w:after="40"/>
              <w:jc w:val="left"/>
            </w:pPr>
            <w:r>
              <w:rPr>
                <w:color w:val="334155"/>
                <w:sz w:val="20"/>
              </w:rPr>
              <w:t>Transaction integrity checks before eligibility scoring</w:t>
            </w:r>
          </w:p>
        </w:tc>
      </w:tr>
      <w:tr>
        <w:tc>
          <w:tcPr>
            <w:tcW w:w="2800" w:type="dxa"/>
          </w:tcPr>
          <w:p>
            <w:pPr>
              <w:spacing w:before="40" w:after="40"/>
              <w:jc w:val="left"/>
            </w:pPr>
            <w:r>
              <w:rPr>
                <w:color w:val="334155"/>
                <w:sz w:val="20"/>
              </w:rPr>
              <w:t>Human review</w:t>
            </w:r>
          </w:p>
        </w:tc>
        <w:tc>
          <w:tcPr>
            <w:tcW w:w="7200" w:type="dxa"/>
          </w:tcPr>
          <w:p>
            <w:pPr>
              <w:spacing w:before="40" w:after="40"/>
              <w:jc w:val="left"/>
            </w:pPr>
            <w:r>
              <w:rPr>
                <w:color w:val="334155"/>
                <w:sz w:val="20"/>
              </w:rPr>
              <w:t>Manual approval for large exposures, anomalies, or low-confidence scores</w:t>
            </w:r>
          </w:p>
        </w:tc>
      </w:tr>
      <w:tr>
        <w:tc>
          <w:tcPr>
            <w:tcW w:w="2800" w:type="dxa"/>
          </w:tcPr>
          <w:p>
            <w:pPr>
              <w:spacing w:before="40" w:after="40"/>
              <w:jc w:val="left"/>
            </w:pPr>
            <w:r>
              <w:rPr>
                <w:color w:val="334155"/>
                <w:sz w:val="20"/>
              </w:rPr>
              <w:t>Disclosure controls</w:t>
            </w:r>
          </w:p>
        </w:tc>
        <w:tc>
          <w:tcPr>
            <w:tcW w:w="7200" w:type="dxa"/>
          </w:tcPr>
          <w:p>
            <w:pPr>
              <w:spacing w:before="40" w:after="40"/>
              <w:jc w:val="left"/>
            </w:pPr>
            <w:r>
              <w:rPr>
                <w:color w:val="334155"/>
                <w:sz w:val="20"/>
              </w:rPr>
              <w:t>Clear product terms, fees, repayment obligations, and risk notices</w:t>
            </w:r>
          </w:p>
        </w:tc>
      </w:tr>
      <w:tr>
        <w:tc>
          <w:tcPr>
            <w:tcW w:w="2800" w:type="dxa"/>
          </w:tcPr>
          <w:p>
            <w:pPr>
              <w:spacing w:before="40" w:after="40"/>
              <w:jc w:val="left"/>
            </w:pPr>
            <w:r>
              <w:rPr>
                <w:color w:val="334155"/>
                <w:sz w:val="20"/>
              </w:rPr>
              <w:t>Portfolio monitoring</w:t>
            </w:r>
          </w:p>
        </w:tc>
        <w:tc>
          <w:tcPr>
            <w:tcW w:w="7200" w:type="dxa"/>
          </w:tcPr>
          <w:p>
            <w:pPr>
              <w:spacing w:before="40" w:after="40"/>
              <w:jc w:val="left"/>
            </w:pPr>
            <w:r>
              <w:rPr>
                <w:color w:val="334155"/>
                <w:sz w:val="20"/>
              </w:rPr>
              <w:t>Ongoing review of delinquencies, claims, payment failures, and concentration</w:t>
            </w:r>
          </w:p>
        </w:tc>
      </w:tr>
      <w:tr>
        <w:tc>
          <w:tcPr>
            <w:tcW w:w="2800" w:type="dxa"/>
          </w:tcPr>
          <w:p>
            <w:pPr>
              <w:spacing w:before="40" w:after="40"/>
              <w:jc w:val="left"/>
            </w:pPr>
            <w:r>
              <w:rPr>
                <w:color w:val="334155"/>
                <w:sz w:val="20"/>
              </w:rPr>
              <w:t>Escalation paths</w:t>
            </w:r>
          </w:p>
        </w:tc>
        <w:tc>
          <w:tcPr>
            <w:tcW w:w="7200" w:type="dxa"/>
          </w:tcPr>
          <w:p>
            <w:pPr>
              <w:spacing w:before="40" w:after="40"/>
              <w:jc w:val="left"/>
            </w:pPr>
            <w:r>
              <w:rPr>
                <w:color w:val="334155"/>
                <w:sz w:val="20"/>
              </w:rPr>
              <w:t>Risk, compliance, and operations escalation for exceptions</w:t>
            </w:r>
          </w:p>
        </w:tc>
      </w:tr>
    </w:tbl>
    <w:p>
      <w:pPr>
        <w:spacing w:before="80" w:after="160"/>
      </w:pPr>
    </w:p>
    <w:p>
      <w:pPr>
        <w:pStyle w:val="Heading2"/>
      </w:pPr>
      <w:r>
        <w:t>Metrics and Expected Impact</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4000"/>
        <w:gridCol w:w="6000"/>
      </w:tblGrid>
      <w:tr>
        <w:trPr>
          <w:tblHeader/>
        </w:trPr>
        <w:tc>
          <w:tcPr>
            <w:tcW w:w="4000" w:type="dxa"/>
            <w:shd w:val="clear" w:fill="f1f5f9"/>
          </w:tcPr>
          <w:p>
            <w:pPr>
              <w:spacing w:before="60" w:after="60"/>
              <w:jc w:val="left"/>
            </w:pPr>
            <w:r>
              <w:rPr>
                <w:b/>
                <w:color w:val="0f172a"/>
                <w:sz w:val="20"/>
              </w:rPr>
              <w:t>KPI</w:t>
            </w:r>
          </w:p>
        </w:tc>
        <w:tc>
          <w:tcPr>
            <w:tcW w:w="6000" w:type="dxa"/>
            <w:shd w:val="clear" w:fill="f1f5f9"/>
          </w:tcPr>
          <w:p>
            <w:pPr>
              <w:spacing w:before="60" w:after="60"/>
              <w:jc w:val="left"/>
            </w:pPr>
            <w:r>
              <w:rPr>
                <w:b/>
                <w:color w:val="0f172a"/>
                <w:sz w:val="20"/>
              </w:rPr>
              <w:t>Projected Impact</w:t>
            </w:r>
          </w:p>
        </w:tc>
      </w:tr>
      <w:tr>
        <w:tc>
          <w:tcPr>
            <w:tcW w:w="4000" w:type="dxa"/>
          </w:tcPr>
          <w:p>
            <w:pPr>
              <w:spacing w:before="40" w:after="40"/>
              <w:jc w:val="left"/>
            </w:pPr>
            <w:r>
              <w:rPr>
                <w:color w:val="334155"/>
                <w:sz w:val="20"/>
              </w:rPr>
              <w:t>Financial revenue per GMV</w:t>
            </w:r>
          </w:p>
        </w:tc>
        <w:tc>
          <w:tcPr>
            <w:tcW w:w="6000" w:type="dxa"/>
          </w:tcPr>
          <w:p>
            <w:pPr>
              <w:spacing w:before="40" w:after="40"/>
              <w:jc w:val="left"/>
            </w:pPr>
            <w:r>
              <w:rPr>
                <w:color w:val="334155"/>
                <w:sz w:val="20"/>
              </w:rPr>
              <w:t>1.5-4.0% incremental margin potential depending on product mix</w:t>
            </w:r>
          </w:p>
        </w:tc>
      </w:tr>
      <w:tr>
        <w:tc>
          <w:tcPr>
            <w:tcW w:w="4000" w:type="dxa"/>
          </w:tcPr>
          <w:p>
            <w:pPr>
              <w:spacing w:before="40" w:after="40"/>
              <w:jc w:val="left"/>
            </w:pPr>
            <w:r>
              <w:rPr>
                <w:color w:val="334155"/>
                <w:sz w:val="20"/>
              </w:rPr>
              <w:t>Product attach rate</w:t>
            </w:r>
          </w:p>
        </w:tc>
        <w:tc>
          <w:tcPr>
            <w:tcW w:w="6000" w:type="dxa"/>
          </w:tcPr>
          <w:p>
            <w:pPr>
              <w:spacing w:before="40" w:after="40"/>
              <w:jc w:val="left"/>
            </w:pPr>
            <w:r>
              <w:rPr>
                <w:color w:val="334155"/>
                <w:sz w:val="20"/>
              </w:rPr>
              <w:t>15-30% adoption for the first priority product segment</w:t>
            </w:r>
          </w:p>
        </w:tc>
      </w:tr>
      <w:tr>
        <w:tc>
          <w:tcPr>
            <w:tcW w:w="4000" w:type="dxa"/>
          </w:tcPr>
          <w:p>
            <w:pPr>
              <w:spacing w:before="40" w:after="40"/>
              <w:jc w:val="left"/>
            </w:pPr>
            <w:r>
              <w:rPr>
                <w:color w:val="334155"/>
                <w:sz w:val="20"/>
              </w:rPr>
              <w:t>Merchant retention</w:t>
            </w:r>
          </w:p>
        </w:tc>
        <w:tc>
          <w:tcPr>
            <w:tcW w:w="6000" w:type="dxa"/>
          </w:tcPr>
          <w:p>
            <w:pPr>
              <w:spacing w:before="40" w:after="40"/>
              <w:jc w:val="left"/>
            </w:pPr>
            <w:r>
              <w:rPr>
                <w:color w:val="334155"/>
                <w:sz w:val="20"/>
              </w:rPr>
              <w:t>10-20% improvement among users adopting finance products</w:t>
            </w:r>
          </w:p>
        </w:tc>
      </w:tr>
      <w:tr>
        <w:tc>
          <w:tcPr>
            <w:tcW w:w="4000" w:type="dxa"/>
          </w:tcPr>
          <w:p>
            <w:pPr>
              <w:spacing w:before="40" w:after="40"/>
              <w:jc w:val="left"/>
            </w:pPr>
            <w:r>
              <w:rPr>
                <w:color w:val="334155"/>
                <w:sz w:val="20"/>
              </w:rPr>
              <w:t>Working-capital approval speed</w:t>
            </w:r>
          </w:p>
        </w:tc>
        <w:tc>
          <w:tcPr>
            <w:tcW w:w="6000" w:type="dxa"/>
          </w:tcPr>
          <w:p>
            <w:pPr>
              <w:spacing w:before="40" w:after="40"/>
              <w:jc w:val="left"/>
            </w:pPr>
            <w:r>
              <w:rPr>
                <w:color w:val="334155"/>
                <w:sz w:val="20"/>
              </w:rPr>
              <w:t>40-60% faster decisioning using marketplace data</w:t>
            </w:r>
          </w:p>
        </w:tc>
      </w:tr>
      <w:tr>
        <w:tc>
          <w:tcPr>
            <w:tcW w:w="4000" w:type="dxa"/>
          </w:tcPr>
          <w:p>
            <w:pPr>
              <w:spacing w:before="40" w:after="40"/>
              <w:jc w:val="left"/>
            </w:pPr>
            <w:r>
              <w:rPr>
                <w:color w:val="334155"/>
                <w:sz w:val="20"/>
              </w:rPr>
              <w:t>Payment volume retained</w:t>
            </w:r>
          </w:p>
        </w:tc>
        <w:tc>
          <w:tcPr>
            <w:tcW w:w="6000" w:type="dxa"/>
          </w:tcPr>
          <w:p>
            <w:pPr>
              <w:spacing w:before="40" w:after="40"/>
              <w:jc w:val="left"/>
            </w:pPr>
            <w:r>
              <w:rPr>
                <w:color w:val="334155"/>
                <w:sz w:val="20"/>
              </w:rPr>
              <w:t>Higher capture of platform-related payment flows</w:t>
            </w:r>
          </w:p>
        </w:tc>
      </w:tr>
      <w:tr>
        <w:tc>
          <w:tcPr>
            <w:tcW w:w="4000" w:type="dxa"/>
          </w:tcPr>
          <w:p>
            <w:pPr>
              <w:spacing w:before="40" w:after="40"/>
              <w:jc w:val="left"/>
            </w:pPr>
            <w:r>
              <w:rPr>
                <w:color w:val="334155"/>
                <w:sz w:val="20"/>
              </w:rPr>
              <w:t>Risk selection quality</w:t>
            </w:r>
          </w:p>
        </w:tc>
        <w:tc>
          <w:tcPr>
            <w:tcW w:w="6000" w:type="dxa"/>
          </w:tcPr>
          <w:p>
            <w:pPr>
              <w:spacing w:before="40" w:after="40"/>
              <w:jc w:val="left"/>
            </w:pPr>
            <w:r>
              <w:rPr>
                <w:color w:val="334155"/>
                <w:sz w:val="20"/>
              </w:rPr>
              <w:t>Better borrower fit from transaction-level signals</w:t>
            </w:r>
          </w:p>
        </w:tc>
      </w:tr>
      <w:tr>
        <w:tc>
          <w:tcPr>
            <w:tcW w:w="4000" w:type="dxa"/>
          </w:tcPr>
          <w:p>
            <w:pPr>
              <w:spacing w:before="40" w:after="40"/>
              <w:jc w:val="left"/>
            </w:pPr>
            <w:r>
              <w:rPr>
                <w:color w:val="334155"/>
                <w:sz w:val="20"/>
              </w:rPr>
              <w:t>Marketplace defensibility</w:t>
            </w:r>
          </w:p>
        </w:tc>
        <w:tc>
          <w:tcPr>
            <w:tcW w:w="6000" w:type="dxa"/>
          </w:tcPr>
          <w:p>
            <w:pPr>
              <w:spacing w:before="40" w:after="40"/>
              <w:jc w:val="left"/>
            </w:pPr>
            <w:r>
              <w:rPr>
                <w:color w:val="334155"/>
                <w:sz w:val="20"/>
              </w:rPr>
              <w:t>Stronger merchant dependency and higher lifetime value</w:t>
            </w:r>
          </w:p>
        </w:tc>
      </w:tr>
    </w:tbl>
    <w:p>
      <w:pPr>
        <w:spacing w:before="80" w:after="160"/>
      </w:pPr>
    </w:p>
    <w:p>
      <w:pPr>
        <w:pStyle w:val="Heading2"/>
      </w:pPr>
      <w:r>
        <w:t>Deliverables</w:t>
      </w:r>
    </w:p>
    <w:p>
      <w:pPr>
        <w:ind w:left="720"/>
      </w:pPr>
      <w:r>
        <w:t>• Embedded finance product strategy</w:t>
      </w:r>
    </w:p>
    <w:p>
      <w:pPr>
        <w:ind w:left="720"/>
      </w:pPr>
      <w:r>
        <w:t>• Marketplace GMV monetization framework</w:t>
      </w:r>
    </w:p>
    <w:p>
      <w:pPr>
        <w:ind w:left="720"/>
      </w:pPr>
      <w:r>
        <w:t>• Financial product prioritization matrix</w:t>
      </w:r>
    </w:p>
    <w:p>
      <w:pPr>
        <w:ind w:left="720"/>
      </w:pPr>
      <w:r>
        <w:t>• Merchant data signal map</w:t>
      </w:r>
    </w:p>
    <w:p>
      <w:pPr>
        <w:ind w:left="720"/>
      </w:pPr>
      <w:r>
        <w:t>• Product workflow and service blueprint</w:t>
      </w:r>
    </w:p>
    <w:p>
      <w:pPr>
        <w:ind w:left="720"/>
      </w:pPr>
      <w:r>
        <w:t>• Risk controls and governance matrix</w:t>
      </w:r>
    </w:p>
    <w:p>
      <w:pPr>
        <w:ind w:left="720"/>
      </w:pPr>
      <w:r>
        <w:t>• Partner model recommendation</w:t>
      </w:r>
    </w:p>
    <w:p>
      <w:pPr>
        <w:ind w:left="720"/>
      </w:pPr>
      <w:r>
        <w:t>• KPI framework</w:t>
      </w:r>
    </w:p>
    <w:p>
      <w:pPr>
        <w:ind w:left="720"/>
      </w:pPr>
      <w:r>
        <w:t>• Implementation roadmap</w:t>
      </w:r>
    </w:p>
    <w:p>
      <w:pPr>
        <w:ind w:left="720"/>
      </w:pPr>
      <w:r>
        <w:t>• Client-ready strategy presentation</w:t>
      </w:r>
    </w:p>
    <w:p>
      <w:pPr>
        <w:pStyle w:val="Heading2"/>
      </w:pPr>
      <w:r>
        <w:t>Tools and Methods</w:t>
      </w:r>
    </w:p>
    <w:p>
      <w:r>
        <w:t>Figma for product journey and dashboard concept; Miro for service blueprinting and ecosystem mapping; Excel for product prioritization and financial impact modeling; PowerPoint for strategy presentation; Notion for product requirements and research synthesis; ChatGPT or AI-assisted research for embedded finance model exploration; stakeholder interviews; product opportunity sizing; risk matrix design; merchant journey mapping; operating model design.</w:t>
      </w:r>
    </w:p>
    <w:p>
      <w:pPr>
        <w:pStyle w:val="Heading2"/>
      </w:pPr>
      <w:r>
        <w:t>Implementation Roadmap</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1600"/>
        <w:gridCol w:w="2200"/>
        <w:gridCol w:w="2400"/>
        <w:gridCol w:w="2200"/>
        <w:gridCol w:w="1600"/>
      </w:tblGrid>
      <w:tr>
        <w:trPr>
          <w:tblHeader/>
        </w:trPr>
        <w:tc>
          <w:tcPr>
            <w:tcW w:w="1600" w:type="dxa"/>
            <w:shd w:val="clear" w:fill="f1f5f9"/>
          </w:tcPr>
          <w:p>
            <w:pPr>
              <w:spacing w:before="60" w:after="60"/>
              <w:jc w:val="left"/>
            </w:pPr>
            <w:r>
              <w:rPr>
                <w:b/>
                <w:color w:val="0f172a"/>
                <w:sz w:val="20"/>
              </w:rPr>
              <w:t>Phase</w:t>
            </w:r>
          </w:p>
        </w:tc>
        <w:tc>
          <w:tcPr>
            <w:tcW w:w="2200" w:type="dxa"/>
            <w:shd w:val="clear" w:fill="f1f5f9"/>
          </w:tcPr>
          <w:p>
            <w:pPr>
              <w:spacing w:before="60" w:after="60"/>
              <w:jc w:val="left"/>
            </w:pPr>
            <w:r>
              <w:rPr>
                <w:b/>
                <w:color w:val="0f172a"/>
                <w:sz w:val="20"/>
              </w:rPr>
              <w:t>Objective</w:t>
            </w:r>
          </w:p>
        </w:tc>
        <w:tc>
          <w:tcPr>
            <w:tcW w:w="2400" w:type="dxa"/>
            <w:shd w:val="clear" w:fill="f1f5f9"/>
          </w:tcPr>
          <w:p>
            <w:pPr>
              <w:spacing w:before="60" w:after="60"/>
              <w:jc w:val="left"/>
            </w:pPr>
            <w:r>
              <w:rPr>
                <w:b/>
                <w:color w:val="0f172a"/>
                <w:sz w:val="20"/>
              </w:rPr>
              <w:t>Key Activities</w:t>
            </w:r>
          </w:p>
        </w:tc>
        <w:tc>
          <w:tcPr>
            <w:tcW w:w="2200" w:type="dxa"/>
            <w:shd w:val="clear" w:fill="f1f5f9"/>
          </w:tcPr>
          <w:p>
            <w:pPr>
              <w:spacing w:before="60" w:after="60"/>
              <w:jc w:val="left"/>
            </w:pPr>
            <w:r>
              <w:rPr>
                <w:b/>
                <w:color w:val="0f172a"/>
                <w:sz w:val="20"/>
              </w:rPr>
              <w:t>Deliverables</w:t>
            </w:r>
          </w:p>
        </w:tc>
        <w:tc>
          <w:tcPr>
            <w:tcW w:w="1600" w:type="dxa"/>
            <w:shd w:val="clear" w:fill="f1f5f9"/>
          </w:tcPr>
          <w:p>
            <w:pPr>
              <w:spacing w:before="60" w:after="60"/>
              <w:jc w:val="left"/>
            </w:pPr>
            <w:r>
              <w:rPr>
                <w:b/>
                <w:color w:val="0f172a"/>
                <w:sz w:val="20"/>
              </w:rPr>
              <w:t>Timeline</w:t>
            </w:r>
          </w:p>
        </w:tc>
      </w:tr>
      <w:tr>
        <w:tc>
          <w:tcPr>
            <w:tcW w:w="1600" w:type="dxa"/>
          </w:tcPr>
          <w:p>
            <w:pPr>
              <w:spacing w:before="40" w:after="40"/>
              <w:jc w:val="left"/>
            </w:pPr>
            <w:r>
              <w:rPr>
                <w:color w:val="334155"/>
                <w:sz w:val="20"/>
              </w:rPr>
              <w:t>1. Opportunity Diagnosis</w:t>
            </w:r>
          </w:p>
        </w:tc>
        <w:tc>
          <w:tcPr>
            <w:tcW w:w="2200" w:type="dxa"/>
          </w:tcPr>
          <w:p>
            <w:pPr>
              <w:spacing w:before="40" w:after="40"/>
              <w:jc w:val="left"/>
            </w:pPr>
            <w:r>
              <w:rPr>
                <w:color w:val="334155"/>
                <w:sz w:val="20"/>
              </w:rPr>
              <w:t>Identify finance needs and monetization potential</w:t>
            </w:r>
          </w:p>
        </w:tc>
        <w:tc>
          <w:tcPr>
            <w:tcW w:w="2400" w:type="dxa"/>
          </w:tcPr>
          <w:p>
            <w:pPr>
              <w:spacing w:before="40" w:after="40"/>
              <w:jc w:val="left"/>
            </w:pPr>
            <w:r>
              <w:rPr>
                <w:color w:val="334155"/>
                <w:sz w:val="20"/>
              </w:rPr>
              <w:t>Analyze GMV, merchant segments, payment flows, and pain points</w:t>
            </w:r>
          </w:p>
        </w:tc>
        <w:tc>
          <w:tcPr>
            <w:tcW w:w="2200" w:type="dxa"/>
          </w:tcPr>
          <w:p>
            <w:pPr>
              <w:spacing w:before="40" w:after="40"/>
              <w:jc w:val="left"/>
            </w:pPr>
            <w:r>
              <w:rPr>
                <w:color w:val="334155"/>
                <w:sz w:val="20"/>
              </w:rPr>
              <w:t>Opportunity assessment</w:t>
            </w:r>
          </w:p>
        </w:tc>
        <w:tc>
          <w:tcPr>
            <w:tcW w:w="1600" w:type="dxa"/>
          </w:tcPr>
          <w:p>
            <w:pPr>
              <w:spacing w:before="40" w:after="40"/>
              <w:jc w:val="left"/>
            </w:pPr>
            <w:r>
              <w:rPr>
                <w:color w:val="334155"/>
                <w:sz w:val="20"/>
              </w:rPr>
              <w:t>2 weeks</w:t>
            </w:r>
          </w:p>
        </w:tc>
      </w:tr>
      <w:tr>
        <w:tc>
          <w:tcPr>
            <w:tcW w:w="1600" w:type="dxa"/>
          </w:tcPr>
          <w:p>
            <w:pPr>
              <w:spacing w:before="40" w:after="40"/>
              <w:jc w:val="left"/>
            </w:pPr>
            <w:r>
              <w:rPr>
                <w:color w:val="334155"/>
                <w:sz w:val="20"/>
              </w:rPr>
              <w:t>2. Product Prioritization</w:t>
            </w:r>
          </w:p>
        </w:tc>
        <w:tc>
          <w:tcPr>
            <w:tcW w:w="2200" w:type="dxa"/>
          </w:tcPr>
          <w:p>
            <w:pPr>
              <w:spacing w:before="40" w:after="40"/>
              <w:jc w:val="left"/>
            </w:pPr>
            <w:r>
              <w:rPr>
                <w:color w:val="334155"/>
                <w:sz w:val="20"/>
              </w:rPr>
              <w:t>Select first embedded finance products</w:t>
            </w:r>
          </w:p>
        </w:tc>
        <w:tc>
          <w:tcPr>
            <w:tcW w:w="2400" w:type="dxa"/>
          </w:tcPr>
          <w:p>
            <w:pPr>
              <w:spacing w:before="40" w:after="40"/>
              <w:jc w:val="left"/>
            </w:pPr>
            <w:r>
              <w:rPr>
                <w:color w:val="334155"/>
                <w:sz w:val="20"/>
              </w:rPr>
              <w:t>Compare lending, payments, insurance, and FX by need, margin, and risk</w:t>
            </w:r>
          </w:p>
        </w:tc>
        <w:tc>
          <w:tcPr>
            <w:tcW w:w="2200" w:type="dxa"/>
          </w:tcPr>
          <w:p>
            <w:pPr>
              <w:spacing w:before="40" w:after="40"/>
              <w:jc w:val="left"/>
            </w:pPr>
            <w:r>
              <w:rPr>
                <w:color w:val="334155"/>
                <w:sz w:val="20"/>
              </w:rPr>
              <w:t>Product priority matrix</w:t>
            </w:r>
          </w:p>
        </w:tc>
        <w:tc>
          <w:tcPr>
            <w:tcW w:w="1600" w:type="dxa"/>
          </w:tcPr>
          <w:p>
            <w:pPr>
              <w:spacing w:before="40" w:after="40"/>
              <w:jc w:val="left"/>
            </w:pPr>
            <w:r>
              <w:rPr>
                <w:color w:val="334155"/>
                <w:sz w:val="20"/>
              </w:rPr>
              <w:t>1-2 weeks</w:t>
            </w:r>
          </w:p>
        </w:tc>
      </w:tr>
      <w:tr>
        <w:tc>
          <w:tcPr>
            <w:tcW w:w="1600" w:type="dxa"/>
          </w:tcPr>
          <w:p>
            <w:pPr>
              <w:spacing w:before="40" w:after="40"/>
              <w:jc w:val="left"/>
            </w:pPr>
            <w:r>
              <w:rPr>
                <w:color w:val="334155"/>
                <w:sz w:val="20"/>
              </w:rPr>
              <w:t>3. Data and Risk Design</w:t>
            </w:r>
          </w:p>
        </w:tc>
        <w:tc>
          <w:tcPr>
            <w:tcW w:w="2200" w:type="dxa"/>
          </w:tcPr>
          <w:p>
            <w:pPr>
              <w:spacing w:before="40" w:after="40"/>
              <w:jc w:val="left"/>
            </w:pPr>
            <w:r>
              <w:rPr>
                <w:color w:val="334155"/>
                <w:sz w:val="20"/>
              </w:rPr>
              <w:t>Define eligibility and governance</w:t>
            </w:r>
          </w:p>
        </w:tc>
        <w:tc>
          <w:tcPr>
            <w:tcW w:w="2400" w:type="dxa"/>
          </w:tcPr>
          <w:p>
            <w:pPr>
              <w:spacing w:before="40" w:after="40"/>
              <w:jc w:val="left"/>
            </w:pPr>
            <w:r>
              <w:rPr>
                <w:color w:val="334155"/>
                <w:sz w:val="20"/>
              </w:rPr>
              <w:t>Build data signal map, scoring logic, exposure limits, and partner requirements</w:t>
            </w:r>
          </w:p>
        </w:tc>
        <w:tc>
          <w:tcPr>
            <w:tcW w:w="2200" w:type="dxa"/>
          </w:tcPr>
          <w:p>
            <w:pPr>
              <w:spacing w:before="40" w:after="40"/>
              <w:jc w:val="left"/>
            </w:pPr>
            <w:r>
              <w:rPr>
                <w:color w:val="334155"/>
                <w:sz w:val="20"/>
              </w:rPr>
              <w:t>Risk and eligibility framework</w:t>
            </w:r>
          </w:p>
        </w:tc>
        <w:tc>
          <w:tcPr>
            <w:tcW w:w="1600" w:type="dxa"/>
          </w:tcPr>
          <w:p>
            <w:pPr>
              <w:spacing w:before="40" w:after="40"/>
              <w:jc w:val="left"/>
            </w:pPr>
            <w:r>
              <w:rPr>
                <w:color w:val="334155"/>
                <w:sz w:val="20"/>
              </w:rPr>
              <w:t>2-3 weeks</w:t>
            </w:r>
          </w:p>
        </w:tc>
      </w:tr>
      <w:tr>
        <w:tc>
          <w:tcPr>
            <w:tcW w:w="1600" w:type="dxa"/>
          </w:tcPr>
          <w:p>
            <w:pPr>
              <w:spacing w:before="40" w:after="40"/>
              <w:jc w:val="left"/>
            </w:pPr>
            <w:r>
              <w:rPr>
                <w:color w:val="334155"/>
                <w:sz w:val="20"/>
              </w:rPr>
              <w:t>4. Pilot Build</w:t>
            </w:r>
          </w:p>
        </w:tc>
        <w:tc>
          <w:tcPr>
            <w:tcW w:w="2200" w:type="dxa"/>
          </w:tcPr>
          <w:p>
            <w:pPr>
              <w:spacing w:before="40" w:after="40"/>
              <w:jc w:val="left"/>
            </w:pPr>
            <w:r>
              <w:rPr>
                <w:color w:val="334155"/>
                <w:sz w:val="20"/>
              </w:rPr>
              <w:t>Launch first controlled product workflow</w:t>
            </w:r>
          </w:p>
        </w:tc>
        <w:tc>
          <w:tcPr>
            <w:tcW w:w="2400" w:type="dxa"/>
          </w:tcPr>
          <w:p>
            <w:pPr>
              <w:spacing w:before="40" w:after="40"/>
              <w:jc w:val="left"/>
            </w:pPr>
            <w:r>
              <w:rPr>
                <w:color w:val="334155"/>
                <w:sz w:val="20"/>
              </w:rPr>
              <w:t>Design UX, partner process, merchant offer, and monitoring dashboard</w:t>
            </w:r>
          </w:p>
        </w:tc>
        <w:tc>
          <w:tcPr>
            <w:tcW w:w="2200" w:type="dxa"/>
          </w:tcPr>
          <w:p>
            <w:pPr>
              <w:spacing w:before="40" w:after="40"/>
              <w:jc w:val="left"/>
            </w:pPr>
            <w:r>
              <w:rPr>
                <w:color w:val="334155"/>
                <w:sz w:val="20"/>
              </w:rPr>
              <w:t>Pilot product blueprint</w:t>
            </w:r>
          </w:p>
        </w:tc>
        <w:tc>
          <w:tcPr>
            <w:tcW w:w="1600" w:type="dxa"/>
          </w:tcPr>
          <w:p>
            <w:pPr>
              <w:spacing w:before="40" w:after="40"/>
              <w:jc w:val="left"/>
            </w:pPr>
            <w:r>
              <w:rPr>
                <w:color w:val="334155"/>
                <w:sz w:val="20"/>
              </w:rPr>
              <w:t>4-6 weeks</w:t>
            </w:r>
          </w:p>
        </w:tc>
      </w:tr>
      <w:tr>
        <w:tc>
          <w:tcPr>
            <w:tcW w:w="1600" w:type="dxa"/>
          </w:tcPr>
          <w:p>
            <w:pPr>
              <w:spacing w:before="40" w:after="40"/>
              <w:jc w:val="left"/>
            </w:pPr>
            <w:r>
              <w:rPr>
                <w:color w:val="334155"/>
                <w:sz w:val="20"/>
              </w:rPr>
              <w:t>5. Scale and Optimize</w:t>
            </w:r>
          </w:p>
        </w:tc>
        <w:tc>
          <w:tcPr>
            <w:tcW w:w="2200" w:type="dxa"/>
          </w:tcPr>
          <w:p>
            <w:pPr>
              <w:spacing w:before="40" w:after="40"/>
              <w:jc w:val="left"/>
            </w:pPr>
            <w:r>
              <w:rPr>
                <w:color w:val="334155"/>
                <w:sz w:val="20"/>
              </w:rPr>
              <w:t>Expand product layers and improve performance</w:t>
            </w:r>
          </w:p>
        </w:tc>
        <w:tc>
          <w:tcPr>
            <w:tcW w:w="2400" w:type="dxa"/>
          </w:tcPr>
          <w:p>
            <w:pPr>
              <w:spacing w:before="40" w:after="40"/>
              <w:jc w:val="left"/>
            </w:pPr>
            <w:r>
              <w:rPr>
                <w:color w:val="334155"/>
                <w:sz w:val="20"/>
              </w:rPr>
              <w:t>Add products, refine scoring, monitor risk, and optimize attach rates</w:t>
            </w:r>
          </w:p>
        </w:tc>
        <w:tc>
          <w:tcPr>
            <w:tcW w:w="2200" w:type="dxa"/>
          </w:tcPr>
          <w:p>
            <w:pPr>
              <w:spacing w:before="40" w:after="40"/>
              <w:jc w:val="left"/>
            </w:pPr>
            <w:r>
              <w:rPr>
                <w:color w:val="334155"/>
                <w:sz w:val="20"/>
              </w:rPr>
              <w:t>Embedded finance operating model</w:t>
            </w:r>
          </w:p>
        </w:tc>
        <w:tc>
          <w:tcPr>
            <w:tcW w:w="1600" w:type="dxa"/>
          </w:tcPr>
          <w:p>
            <w:pPr>
              <w:spacing w:before="40" w:after="40"/>
              <w:jc w:val="left"/>
            </w:pPr>
            <w:r>
              <w:rPr>
                <w:color w:val="334155"/>
                <w:sz w:val="20"/>
              </w:rPr>
              <w:t>8-12 weeks</w:t>
            </w:r>
          </w:p>
        </w:tc>
      </w:tr>
    </w:tbl>
    <w:p>
      <w:pPr>
        <w:spacing w:before="80" w:after="160"/>
      </w:pPr>
    </w:p>
    <w:p>
      <w:pPr>
        <w:pStyle w:val="Heading2"/>
      </w:pPr>
      <w:r>
        <w:t>Portfolio Narrative</w:t>
      </w:r>
    </w:p>
    <w:p>
      <w:r>
        <w:t>This project demonstrates the ability to translate fintech opportunity into product strategy. It bridges commercial analysis, UX thinking, risk control, and operating-model design. The work is not only about identifying a market trend; it shows how an operator can embed financial products into real marketplace behavior.</w:t>
      </w:r>
    </w:p>
    <w:p>
      <w:r>
        <w:t>The case is strong because it connects data advantage to user value and revenue expansion. It shows how to create a practical, governed path from marketplace transactions to financial services.</w:t>
      </w:r>
    </w:p>
    <w:p>
      <w:pPr>
        <w:pStyle w:val="Heading2"/>
      </w:pPr>
      <w:r>
        <w:t>Final Conclusion</w:t>
      </w:r>
    </w:p>
    <w:p>
      <w:r>
        <w:t>Marketplace Embedded Finance Product Strategy shows how B2B marketplaces can turn commerce data into financial utility and financial margin. By embedding lending, payments, insurance, and FX into the merchant workflow, the platform can improve user experience, increase retention, and diversify revenue. The project is portfolio-ready because it demonstrates product strategy with commercial discipline and fintech governance.</w:t>
      </w:r>
    </w:p>
    <w:p>
      <w:pPr>
        <w:pageBreakBefore/>
      </w:pPr>
    </w:p>
    <w:p>
      <w:pPr>
        <w:pStyle w:val="Heading1"/>
      </w:pPr>
      <w:r>
        <w:t>Project 6: AI-Augmented M&amp;A Due Diligence Operating Model</w:t>
      </w:r>
      <w:bookmarkStart w:name="_P6" w:id="6"/>
      <w:bookmarkEnd w:id="6"/>
    </w:p>
    <w:p>
      <w:r>
        <w:rPr>
          <w:b/>
        </w:rPr>
        <w:t>Strategic Subtitle: </w:t>
      </w:r>
      <w:r>
        <w:t>Reducing contract review cost while protecting expert legal judgment</w:t>
      </w:r>
    </w:p>
    <w:p>
      <w:r>
        <w:rPr>
          <w:b/>
        </w:rPr>
        <w:t>Commercial Promise: </w:t>
      </w:r>
      <w:r>
        <w:t>An AI-enabled due diligence workflow that improves speed, consistency, and margin without removing lawyer accountability.</w:t>
      </w:r>
    </w:p>
    <w:p>
      <w:r>
        <w:rPr>
          <w:b/>
        </w:rPr>
        <w:t>Category: </w:t>
      </w:r>
      <w:r>
        <w:t>LegalTech Transformation, AI Workflow Design, Professional Services Operations, M&amp;A Due Diligence</w:t>
      </w:r>
    </w:p>
    <w:p>
      <w:r>
        <w:rPr>
          <w:b/>
        </w:rPr>
        <w:t>Context: </w:t>
      </w:r>
      <w:r>
        <w:t>Law firm, corporate legal department, private equity platform, M&amp;A advisory team, or professional-services firm handling high-volume document review.</w:t>
      </w:r>
    </w:p>
    <w:p>
      <w:pPr>
        <w:pStyle w:val="Heading2"/>
      </w:pPr>
      <w:r>
        <w:t>Executive Summary</w:t>
      </w:r>
    </w:p>
    <w:p>
      <w:r>
        <w:t>This project redesigned M&amp;A due diligence from a manual contract-review process into an AI-augmented legal operating model. The work addressed a high-cost professional-services challenge: mid-market transactions can involve hundreds of contracts, each requiring attorney time to read, extract clauses, flag risks, and prepare summaries.</w:t>
      </w:r>
    </w:p>
    <w:p>
      <w:r>
        <w:t>The solution introduced a lawyer-in-the-loop workflow where AI classifies clauses, extracts key terms, flags risks, drafts structured summaries, and routes exceptions for expert review. Lawyers remain responsible for judgment, validation, negotiation advice, and final decisions.</w:t>
      </w:r>
    </w:p>
    <w:p>
      <w:r>
        <w:t>The project mattered because due diligence economics are under pressure. Clients expect faster work, lower cost, and higher consistency, while firms must protect quality and professional responsibility. The resulting model creates measurable margin impact by shifting repetitive mechanics to AI and reserving expert time for analysis.</w:t>
      </w:r>
    </w:p>
    <w:p>
      <w:pPr>
        <w:pStyle w:val="Heading2"/>
      </w:pPr>
      <w:r>
        <w:t>Project Context</w:t>
      </w:r>
    </w:p>
    <w:p>
      <w:r>
        <w:t>The client environment was a legal or professional-services team supporting M&amp;A due diligence. A typical mid-market deal involved 200-800 contracts, including purchase agreements, customer contracts, supplier agreements, leases, employment documents, licenses, and commercial commitments.</w:t>
      </w:r>
    </w:p>
    <w:p>
      <w:r>
        <w:t>Existing pain points included: contract review required thousands of attorney hours; reviewer fatigue increased inconsistency across issue spotting; risk summaries varied by reviewer style and experience; deal teams needed faster visibility into material risks; fixed-fee or capped-fee arrangements created margin pressure; manual processes were hard to scale during transaction peaks.</w:t>
      </w:r>
    </w:p>
    <w:p>
      <w:r>
        <w:t>The project was necessary because the legacy model scaled cost faster than insight. The firm needed a workflow that could increase throughput without turning legal judgment into unsupervised automation.</w:t>
      </w:r>
    </w:p>
    <w:p>
      <w:pPr>
        <w:pStyle w:val="Heading2"/>
      </w:pPr>
      <w:r>
        <w:t>Problem Statement</w:t>
      </w:r>
    </w:p>
    <w:p>
      <w:r>
        <w:t>The core problem was that due diligence was still trapped in manual contract review. Lawyers were performing both mechanical extraction and expert analysis, even though these tasks have different value profiles.</w:t>
      </w:r>
    </w:p>
    <w:p>
      <w:r>
        <w:t>Stakeholder friction included: associates spent significant time on repetitive clause identification; partners lacked consistent, real-time visibility into review progress and risk distribution; clients received slower, more expensive diligence outputs; deal teams had limited ability to compare risks across large contract populations; firms faced margin compression when review volume exceeded pricing assumptions.</w:t>
      </w:r>
    </w:p>
    <w:p>
      <w:r>
        <w:t>If unresolved, the firm would continue to face slow cycle times, inconsistent outputs, hidden costs, and reduced competitiveness against AI-enabled service models.</w:t>
      </w:r>
    </w:p>
    <w:p>
      <w:pPr>
        <w:pStyle w:val="Heading2"/>
      </w:pPr>
      <w:r>
        <w:t>Project Goals</w:t>
      </w:r>
    </w:p>
    <w:p>
      <w:pPr>
        <w:ind w:left="720"/>
      </w:pPr>
      <w:r>
        <w:t>• Reduce manual review effort: Shift clause classification, extraction, and first-pass summary drafting to AI support.</w:t>
      </w:r>
    </w:p>
    <w:p>
      <w:pPr>
        <w:ind w:left="720"/>
      </w:pPr>
      <w:r>
        <w:t>• Protect expert judgment: Keep lawyers accountable for validation, interpretation, and decision-making.</w:t>
      </w:r>
    </w:p>
    <w:p>
      <w:pPr>
        <w:ind w:left="720"/>
      </w:pPr>
      <w:r>
        <w:t>• Improve consistency: Standardize issue spotting, risk labels, summary structure, and escalation criteria.</w:t>
      </w:r>
    </w:p>
    <w:p>
      <w:pPr>
        <w:ind w:left="720"/>
      </w:pPr>
      <w:r>
        <w:t>• Increase margin performance: Reduce attorney time per contract and improve fixed-fee economics.</w:t>
      </w:r>
    </w:p>
    <w:p>
      <w:pPr>
        <w:ind w:left="720"/>
      </w:pPr>
      <w:r>
        <w:t>• Improve deal visibility: Provide dashboards for contract volume, risk distribution, confidence, and review status.</w:t>
      </w:r>
    </w:p>
    <w:p>
      <w:pPr>
        <w:ind w:left="720"/>
      </w:pPr>
      <w:r>
        <w:t>• Control AI risk: Build hallucination defense, source references, confidence thresholds, and human approval gates.</w:t>
      </w:r>
    </w:p>
    <w:p>
      <w:pPr>
        <w:ind w:left="720"/>
      </w:pPr>
      <w:r>
        <w:t>• Create repeatable operating model: Make high-volume due diligence scalable and auditable.</w:t>
      </w:r>
    </w:p>
    <w:p>
      <w:pPr>
        <w:pStyle w:val="Heading2"/>
      </w:pPr>
      <w:r>
        <w:t>Strategic Approach</w:t>
      </w:r>
    </w:p>
    <w:p>
      <w:r>
        <w:t>The methodology combined legal workflow analysis, AI system design, risk governance, and professional-services economics:</w:t>
      </w:r>
    </w:p>
    <w:p>
      <w:pPr>
        <w:ind w:left="720"/>
      </w:pPr>
      <w:r>
        <w:t>1. Discovery: Reviewed contract types, due diligence workflow, staffing model, pricing structure, and current summary outputs.</w:t>
      </w:r>
    </w:p>
    <w:p>
      <w:pPr>
        <w:ind w:left="720"/>
      </w:pPr>
      <w:r>
        <w:t>2. Stakeholder analysis: Mapped the needs of associates, partners, clients, deal teams, knowledge managers, and risk/compliance leaders.</w:t>
      </w:r>
    </w:p>
    <w:p>
      <w:pPr>
        <w:ind w:left="720"/>
      </w:pPr>
      <w:r>
        <w:t>3. Workflow mapping: Separated mechanical review tasks from legal judgment tasks.</w:t>
      </w:r>
    </w:p>
    <w:p>
      <w:pPr>
        <w:ind w:left="720"/>
      </w:pPr>
      <w:r>
        <w:t>4. Pain point identification: Identified bottlenecks in clause extraction, risk flagging, summary writing, and quality review.</w:t>
      </w:r>
    </w:p>
    <w:p>
      <w:pPr>
        <w:ind w:left="720"/>
      </w:pPr>
      <w:r>
        <w:t>5. UX/UI structuring: Designed a structured workflow for classify, extract, flag, verify, and report.</w:t>
      </w:r>
    </w:p>
    <w:p>
      <w:pPr>
        <w:ind w:left="720"/>
      </w:pPr>
      <w:r>
        <w:t>6. Risk control definition: Built hallucination defense, source citation requirements, confidence scores, review status, and escalation rules.</w:t>
      </w:r>
    </w:p>
    <w:p>
      <w:pPr>
        <w:ind w:left="720"/>
      </w:pPr>
      <w:r>
        <w:t>7. Solution framing: Positioned AI as a legal operations layer, not as a lawyer replacement.</w:t>
      </w:r>
    </w:p>
    <w:p>
      <w:pPr>
        <w:ind w:left="720"/>
      </w:pPr>
      <w:r>
        <w:t>8. Validation logic: Measured time reduction, issue consistency, reviewer correction rate, margin improvement, and error reduction.</w:t>
      </w:r>
    </w:p>
    <w:p>
      <w:pPr>
        <w:pStyle w:val="Heading2"/>
      </w:pPr>
      <w:r>
        <w:t>Solution Overview</w:t>
      </w:r>
    </w:p>
    <w:p>
      <w:r>
        <w:t>The solution was an AI-augmented M&amp;A due diligence operating model.</w:t>
      </w:r>
    </w:p>
    <w:p>
      <w:r>
        <w:t>Core components:</w:t>
      </w:r>
    </w:p>
    <w:p>
      <w:pPr>
        <w:ind w:left="720"/>
      </w:pPr>
      <w:r>
        <w:t>• Document intake: Upload and organize contracts by type, party, date, jurisdiction, and deal relevance.</w:t>
      </w:r>
    </w:p>
    <w:p>
      <w:pPr>
        <w:ind w:left="720"/>
      </w:pPr>
      <w:r>
        <w:t>• Clause classification: AI identifies clause types such as representations, indemnity, limitations, change of control, confidentiality, termination, assignment, and survival.</w:t>
      </w:r>
    </w:p>
    <w:p>
      <w:pPr>
        <w:ind w:left="720"/>
      </w:pPr>
      <w:r>
        <w:t>• Key-term extraction: AI extracts parties, thresholds, caps, obligations, dates, renewal terms, consent requirements, and exceptions.</w:t>
      </w:r>
    </w:p>
    <w:p>
      <w:pPr>
        <w:ind w:left="720"/>
      </w:pPr>
      <w:r>
        <w:t>• Risk flagging: AI detects red flags, unusual provisions, missing terms, inconsistent language, and deal-specific concerns.</w:t>
      </w:r>
    </w:p>
    <w:p>
      <w:pPr>
        <w:ind w:left="720"/>
      </w:pPr>
      <w:r>
        <w:t>• Structured verification: Lawyers review AI outputs, accept or correct findings, and record confidence.</w:t>
      </w:r>
    </w:p>
    <w:p>
      <w:pPr>
        <w:ind w:left="720"/>
      </w:pPr>
      <w:r>
        <w:t>• Summary generation: AI drafts standardized contract summaries tied to source references.</w:t>
      </w:r>
    </w:p>
    <w:p>
      <w:pPr>
        <w:ind w:left="720"/>
      </w:pPr>
      <w:r>
        <w:t>• Dashboard reporting: Deal teams view risk distribution, review progress, confidence, and unresolved exceptions.</w:t>
      </w:r>
    </w:p>
    <w:p>
      <w:r>
        <w:t>The workflow follows a clear principle: AI handles the heavy lift; lawyers make the calls.</w:t>
      </w:r>
    </w:p>
    <w:p>
      <w:pPr>
        <w:pStyle w:val="Heading2"/>
      </w:pPr>
      <w:r>
        <w:t>UX/UI and Design Decisions</w:t>
      </w:r>
    </w:p>
    <w:p>
      <w:r>
        <w:t>The visual direction used a dark legaltech interface with cyan process lines, green validation signals, and gold accents for professional-services authority. The design communicates sophistication without turning legal work into generic AI spectacle.</w:t>
      </w:r>
    </w:p>
    <w:p>
      <w:r>
        <w:t>Key UX/UI decisions: Information architecture organized review around classify, extract, flag, verify, and summarize; visual hierarchy surfaced deal-level metrics first: time reduction, savings, margin improvement, payback period, review volume, risk distribution, and confidence; source-grounded design tied extracted outputs to contract references so reviewers can verify quickly; risk visibility used issue categories, severity labels, and confidence scores to focus expert attention; human accountability displayed reviewer, decision status, confidence, and escalation state; complexity simplification turned hundreds of contracts into a structured diligence command center.</w:t>
      </w:r>
    </w:p>
    <w:p>
      <w:r>
        <w:t>The design supports decision-making by helping lawyers see what needs attention, what has been validated, and where risk is concentrated.</w:t>
      </w:r>
    </w:p>
    <w:p>
      <w:pPr>
        <w:pStyle w:val="Heading2"/>
      </w:pPr>
      <w:r>
        <w:t>Workflow or Operating Model</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1400"/>
        <w:gridCol w:w="2200"/>
        <w:gridCol w:w="1600"/>
        <w:gridCol w:w="1800"/>
        <w:gridCol w:w="1400"/>
        <w:gridCol w:w="1600"/>
      </w:tblGrid>
      <w:tr>
        <w:trPr>
          <w:tblHeader/>
        </w:trPr>
        <w:tc>
          <w:tcPr>
            <w:tcW w:w="1400" w:type="dxa"/>
            <w:shd w:val="clear" w:fill="f1f5f9"/>
          </w:tcPr>
          <w:p>
            <w:pPr>
              <w:spacing w:before="60" w:after="60"/>
              <w:jc w:val="left"/>
            </w:pPr>
            <w:r>
              <w:rPr>
                <w:b/>
                <w:color w:val="0f172a"/>
                <w:sz w:val="20"/>
              </w:rPr>
              <w:t>Step</w:t>
            </w:r>
          </w:p>
        </w:tc>
        <w:tc>
          <w:tcPr>
            <w:tcW w:w="2200" w:type="dxa"/>
            <w:shd w:val="clear" w:fill="f1f5f9"/>
          </w:tcPr>
          <w:p>
            <w:pPr>
              <w:spacing w:before="60" w:after="60"/>
              <w:jc w:val="left"/>
            </w:pPr>
            <w:r>
              <w:rPr>
                <w:b/>
                <w:color w:val="0f172a"/>
                <w:sz w:val="20"/>
              </w:rPr>
              <w:t>Role Involved</w:t>
            </w:r>
          </w:p>
        </w:tc>
        <w:tc>
          <w:tcPr>
            <w:tcW w:w="1600" w:type="dxa"/>
            <w:shd w:val="clear" w:fill="f1f5f9"/>
          </w:tcPr>
          <w:p>
            <w:pPr>
              <w:spacing w:before="60" w:after="60"/>
              <w:jc w:val="left"/>
            </w:pPr>
            <w:r>
              <w:rPr>
                <w:b/>
                <w:color w:val="0f172a"/>
                <w:sz w:val="20"/>
              </w:rPr>
              <w:t>Input</w:t>
            </w:r>
          </w:p>
        </w:tc>
        <w:tc>
          <w:tcPr>
            <w:tcW w:w="1800" w:type="dxa"/>
            <w:shd w:val="clear" w:fill="f1f5f9"/>
          </w:tcPr>
          <w:p>
            <w:pPr>
              <w:spacing w:before="60" w:after="60"/>
              <w:jc w:val="left"/>
            </w:pPr>
            <w:r>
              <w:rPr>
                <w:b/>
                <w:color w:val="0f172a"/>
                <w:sz w:val="20"/>
              </w:rPr>
              <w:t>Action</w:t>
            </w:r>
          </w:p>
        </w:tc>
        <w:tc>
          <w:tcPr>
            <w:tcW w:w="1400" w:type="dxa"/>
            <w:shd w:val="clear" w:fill="f1f5f9"/>
          </w:tcPr>
          <w:p>
            <w:pPr>
              <w:spacing w:before="60" w:after="60"/>
              <w:jc w:val="left"/>
            </w:pPr>
            <w:r>
              <w:rPr>
                <w:b/>
                <w:color w:val="0f172a"/>
                <w:sz w:val="20"/>
              </w:rPr>
              <w:t>Output</w:t>
            </w:r>
          </w:p>
        </w:tc>
        <w:tc>
          <w:tcPr>
            <w:tcW w:w="1600" w:type="dxa"/>
            <w:shd w:val="clear" w:fill="f1f5f9"/>
          </w:tcPr>
          <w:p>
            <w:pPr>
              <w:spacing w:before="60" w:after="60"/>
              <w:jc w:val="left"/>
            </w:pPr>
            <w:r>
              <w:rPr>
                <w:b/>
                <w:color w:val="0f172a"/>
                <w:sz w:val="20"/>
              </w:rPr>
              <w:t>Control Mechanism</w:t>
            </w:r>
          </w:p>
        </w:tc>
      </w:tr>
      <w:tr>
        <w:tc>
          <w:tcPr>
            <w:tcW w:w="1400" w:type="dxa"/>
          </w:tcPr>
          <w:p>
            <w:pPr>
              <w:spacing w:before="40" w:after="40"/>
              <w:jc w:val="left"/>
            </w:pPr>
            <w:r>
              <w:rPr>
                <w:color w:val="334155"/>
                <w:sz w:val="20"/>
              </w:rPr>
              <w:t>1. Intake</w:t>
            </w:r>
          </w:p>
        </w:tc>
        <w:tc>
          <w:tcPr>
            <w:tcW w:w="2200" w:type="dxa"/>
          </w:tcPr>
          <w:p>
            <w:pPr>
              <w:spacing w:before="40" w:after="40"/>
              <w:jc w:val="left"/>
            </w:pPr>
            <w:r>
              <w:rPr>
                <w:color w:val="334155"/>
                <w:sz w:val="20"/>
              </w:rPr>
              <w:t>Deal team, legal operations</w:t>
            </w:r>
          </w:p>
        </w:tc>
        <w:tc>
          <w:tcPr>
            <w:tcW w:w="1600" w:type="dxa"/>
          </w:tcPr>
          <w:p>
            <w:pPr>
              <w:spacing w:before="40" w:after="40"/>
              <w:jc w:val="left"/>
            </w:pPr>
            <w:r>
              <w:rPr>
                <w:color w:val="334155"/>
                <w:sz w:val="20"/>
              </w:rPr>
              <w:t>Contract set and deal profile</w:t>
            </w:r>
          </w:p>
        </w:tc>
        <w:tc>
          <w:tcPr>
            <w:tcW w:w="1800" w:type="dxa"/>
          </w:tcPr>
          <w:p>
            <w:pPr>
              <w:spacing w:before="40" w:after="40"/>
              <w:jc w:val="left"/>
            </w:pPr>
            <w:r>
              <w:rPr>
                <w:color w:val="334155"/>
                <w:sz w:val="20"/>
              </w:rPr>
              <w:t>Organize documents and metadata</w:t>
            </w:r>
          </w:p>
        </w:tc>
        <w:tc>
          <w:tcPr>
            <w:tcW w:w="1400" w:type="dxa"/>
          </w:tcPr>
          <w:p>
            <w:pPr>
              <w:spacing w:before="40" w:after="40"/>
              <w:jc w:val="left"/>
            </w:pPr>
            <w:r>
              <w:rPr>
                <w:color w:val="334155"/>
                <w:sz w:val="20"/>
              </w:rPr>
              <w:t>Review queue</w:t>
            </w:r>
          </w:p>
        </w:tc>
        <w:tc>
          <w:tcPr>
            <w:tcW w:w="1600" w:type="dxa"/>
          </w:tcPr>
          <w:p>
            <w:pPr>
              <w:spacing w:before="40" w:after="40"/>
              <w:jc w:val="left"/>
            </w:pPr>
            <w:r>
              <w:rPr>
                <w:color w:val="334155"/>
                <w:sz w:val="20"/>
              </w:rPr>
              <w:t>Document completeness check</w:t>
            </w:r>
          </w:p>
        </w:tc>
      </w:tr>
      <w:tr>
        <w:tc>
          <w:tcPr>
            <w:tcW w:w="1400" w:type="dxa"/>
          </w:tcPr>
          <w:p>
            <w:pPr>
              <w:spacing w:before="40" w:after="40"/>
              <w:jc w:val="left"/>
            </w:pPr>
            <w:r>
              <w:rPr>
                <w:color w:val="334155"/>
                <w:sz w:val="20"/>
              </w:rPr>
              <w:t>2. Classify</w:t>
            </w:r>
          </w:p>
        </w:tc>
        <w:tc>
          <w:tcPr>
            <w:tcW w:w="2200" w:type="dxa"/>
          </w:tcPr>
          <w:p>
            <w:pPr>
              <w:spacing w:before="40" w:after="40"/>
              <w:jc w:val="left"/>
            </w:pPr>
            <w:r>
              <w:rPr>
                <w:color w:val="334155"/>
                <w:sz w:val="20"/>
              </w:rPr>
              <w:t>AI workflow</w:t>
            </w:r>
          </w:p>
        </w:tc>
        <w:tc>
          <w:tcPr>
            <w:tcW w:w="1600" w:type="dxa"/>
          </w:tcPr>
          <w:p>
            <w:pPr>
              <w:spacing w:before="40" w:after="40"/>
              <w:jc w:val="left"/>
            </w:pPr>
            <w:r>
              <w:rPr>
                <w:color w:val="334155"/>
                <w:sz w:val="20"/>
              </w:rPr>
              <w:t>Contract text</w:t>
            </w:r>
          </w:p>
        </w:tc>
        <w:tc>
          <w:tcPr>
            <w:tcW w:w="1800" w:type="dxa"/>
          </w:tcPr>
          <w:p>
            <w:pPr>
              <w:spacing w:before="40" w:after="40"/>
              <w:jc w:val="left"/>
            </w:pPr>
            <w:r>
              <w:rPr>
                <w:color w:val="334155"/>
                <w:sz w:val="20"/>
              </w:rPr>
              <w:t>Identify clause types and document categories</w:t>
            </w:r>
          </w:p>
        </w:tc>
        <w:tc>
          <w:tcPr>
            <w:tcW w:w="1400" w:type="dxa"/>
          </w:tcPr>
          <w:p>
            <w:pPr>
              <w:spacing w:before="40" w:after="40"/>
              <w:jc w:val="left"/>
            </w:pPr>
            <w:r>
              <w:rPr>
                <w:color w:val="334155"/>
                <w:sz w:val="20"/>
              </w:rPr>
              <w:t>Clause map</w:t>
            </w:r>
          </w:p>
        </w:tc>
        <w:tc>
          <w:tcPr>
            <w:tcW w:w="1600" w:type="dxa"/>
          </w:tcPr>
          <w:p>
            <w:pPr>
              <w:spacing w:before="40" w:after="40"/>
              <w:jc w:val="left"/>
            </w:pPr>
            <w:r>
              <w:rPr>
                <w:color w:val="334155"/>
                <w:sz w:val="20"/>
              </w:rPr>
              <w:t>Source reference requirement</w:t>
            </w:r>
          </w:p>
        </w:tc>
      </w:tr>
      <w:tr>
        <w:tc>
          <w:tcPr>
            <w:tcW w:w="1400" w:type="dxa"/>
          </w:tcPr>
          <w:p>
            <w:pPr>
              <w:spacing w:before="40" w:after="40"/>
              <w:jc w:val="left"/>
            </w:pPr>
            <w:r>
              <w:rPr>
                <w:color w:val="334155"/>
                <w:sz w:val="20"/>
              </w:rPr>
              <w:t>3. Extract</w:t>
            </w:r>
          </w:p>
        </w:tc>
        <w:tc>
          <w:tcPr>
            <w:tcW w:w="2200" w:type="dxa"/>
          </w:tcPr>
          <w:p>
            <w:pPr>
              <w:spacing w:before="40" w:after="40"/>
              <w:jc w:val="left"/>
            </w:pPr>
            <w:r>
              <w:rPr>
                <w:color w:val="334155"/>
                <w:sz w:val="20"/>
              </w:rPr>
              <w:t>AI workflow</w:t>
            </w:r>
          </w:p>
        </w:tc>
        <w:tc>
          <w:tcPr>
            <w:tcW w:w="1600" w:type="dxa"/>
          </w:tcPr>
          <w:p>
            <w:pPr>
              <w:spacing w:before="40" w:after="40"/>
              <w:jc w:val="left"/>
            </w:pPr>
            <w:r>
              <w:rPr>
                <w:color w:val="334155"/>
                <w:sz w:val="20"/>
              </w:rPr>
              <w:t>Clause map</w:t>
            </w:r>
          </w:p>
        </w:tc>
        <w:tc>
          <w:tcPr>
            <w:tcW w:w="1800" w:type="dxa"/>
          </w:tcPr>
          <w:p>
            <w:pPr>
              <w:spacing w:before="40" w:after="40"/>
              <w:jc w:val="left"/>
            </w:pPr>
            <w:r>
              <w:rPr>
                <w:color w:val="334155"/>
                <w:sz w:val="20"/>
              </w:rPr>
              <w:t>Extract parties, terms, thresholds, caps, dates, and obligations</w:t>
            </w:r>
          </w:p>
        </w:tc>
        <w:tc>
          <w:tcPr>
            <w:tcW w:w="1400" w:type="dxa"/>
          </w:tcPr>
          <w:p>
            <w:pPr>
              <w:spacing w:before="40" w:after="40"/>
              <w:jc w:val="left"/>
            </w:pPr>
            <w:r>
              <w:rPr>
                <w:color w:val="334155"/>
                <w:sz w:val="20"/>
              </w:rPr>
              <w:t>Key-term table</w:t>
            </w:r>
          </w:p>
        </w:tc>
        <w:tc>
          <w:tcPr>
            <w:tcW w:w="1600" w:type="dxa"/>
          </w:tcPr>
          <w:p>
            <w:pPr>
              <w:spacing w:before="40" w:after="40"/>
              <w:jc w:val="left"/>
            </w:pPr>
            <w:r>
              <w:rPr>
                <w:color w:val="334155"/>
                <w:sz w:val="20"/>
              </w:rPr>
              <w:t>Confidence scoring</w:t>
            </w:r>
          </w:p>
        </w:tc>
      </w:tr>
      <w:tr>
        <w:tc>
          <w:tcPr>
            <w:tcW w:w="1400" w:type="dxa"/>
          </w:tcPr>
          <w:p>
            <w:pPr>
              <w:spacing w:before="40" w:after="40"/>
              <w:jc w:val="left"/>
            </w:pPr>
            <w:r>
              <w:rPr>
                <w:color w:val="334155"/>
                <w:sz w:val="20"/>
              </w:rPr>
              <w:t>4. Flag</w:t>
            </w:r>
          </w:p>
        </w:tc>
        <w:tc>
          <w:tcPr>
            <w:tcW w:w="2200" w:type="dxa"/>
          </w:tcPr>
          <w:p>
            <w:pPr>
              <w:spacing w:before="40" w:after="40"/>
              <w:jc w:val="left"/>
            </w:pPr>
            <w:r>
              <w:rPr>
                <w:color w:val="334155"/>
                <w:sz w:val="20"/>
              </w:rPr>
              <w:t>AI workflow</w:t>
            </w:r>
          </w:p>
        </w:tc>
        <w:tc>
          <w:tcPr>
            <w:tcW w:w="1600" w:type="dxa"/>
          </w:tcPr>
          <w:p>
            <w:pPr>
              <w:spacing w:before="40" w:after="40"/>
              <w:jc w:val="left"/>
            </w:pPr>
            <w:r>
              <w:rPr>
                <w:color w:val="334155"/>
                <w:sz w:val="20"/>
              </w:rPr>
              <w:t>Extracted terms and deal criteria</w:t>
            </w:r>
          </w:p>
        </w:tc>
        <w:tc>
          <w:tcPr>
            <w:tcW w:w="1800" w:type="dxa"/>
          </w:tcPr>
          <w:p>
            <w:pPr>
              <w:spacing w:before="40" w:after="40"/>
              <w:jc w:val="left"/>
            </w:pPr>
            <w:r>
              <w:rPr>
                <w:color w:val="334155"/>
                <w:sz w:val="20"/>
              </w:rPr>
              <w:t>Identify risks, gaps, anomalies, and exceptions</w:t>
            </w:r>
          </w:p>
        </w:tc>
        <w:tc>
          <w:tcPr>
            <w:tcW w:w="1400" w:type="dxa"/>
          </w:tcPr>
          <w:p>
            <w:pPr>
              <w:spacing w:before="40" w:after="40"/>
              <w:jc w:val="left"/>
            </w:pPr>
            <w:r>
              <w:rPr>
                <w:color w:val="334155"/>
                <w:sz w:val="20"/>
              </w:rPr>
              <w:t>Risk register</w:t>
            </w:r>
          </w:p>
        </w:tc>
        <w:tc>
          <w:tcPr>
            <w:tcW w:w="1600" w:type="dxa"/>
          </w:tcPr>
          <w:p>
            <w:pPr>
              <w:spacing w:before="40" w:after="40"/>
              <w:jc w:val="left"/>
            </w:pPr>
            <w:r>
              <w:rPr>
                <w:color w:val="334155"/>
                <w:sz w:val="20"/>
              </w:rPr>
              <w:t>Severity labels and escalation rules</w:t>
            </w:r>
          </w:p>
        </w:tc>
      </w:tr>
      <w:tr>
        <w:tc>
          <w:tcPr>
            <w:tcW w:w="1400" w:type="dxa"/>
          </w:tcPr>
          <w:p>
            <w:pPr>
              <w:spacing w:before="40" w:after="40"/>
              <w:jc w:val="left"/>
            </w:pPr>
            <w:r>
              <w:rPr>
                <w:color w:val="334155"/>
                <w:sz w:val="20"/>
              </w:rPr>
              <w:t>5. Verify</w:t>
            </w:r>
          </w:p>
        </w:tc>
        <w:tc>
          <w:tcPr>
            <w:tcW w:w="2200" w:type="dxa"/>
          </w:tcPr>
          <w:p>
            <w:pPr>
              <w:spacing w:before="40" w:after="40"/>
              <w:jc w:val="left"/>
            </w:pPr>
            <w:r>
              <w:rPr>
                <w:color w:val="334155"/>
                <w:sz w:val="20"/>
              </w:rPr>
              <w:t>Lawyer reviewer</w:t>
            </w:r>
          </w:p>
        </w:tc>
        <w:tc>
          <w:tcPr>
            <w:tcW w:w="1600" w:type="dxa"/>
          </w:tcPr>
          <w:p>
            <w:pPr>
              <w:spacing w:before="40" w:after="40"/>
              <w:jc w:val="left"/>
            </w:pPr>
            <w:r>
              <w:rPr>
                <w:color w:val="334155"/>
                <w:sz w:val="20"/>
              </w:rPr>
              <w:t>AI findings and source references</w:t>
            </w:r>
          </w:p>
        </w:tc>
        <w:tc>
          <w:tcPr>
            <w:tcW w:w="1800" w:type="dxa"/>
          </w:tcPr>
          <w:p>
            <w:pPr>
              <w:spacing w:before="40" w:after="40"/>
              <w:jc w:val="left"/>
            </w:pPr>
            <w:r>
              <w:rPr>
                <w:color w:val="334155"/>
                <w:sz w:val="20"/>
              </w:rPr>
              <w:t>Accept, correct, reject, or escalate findings</w:t>
            </w:r>
          </w:p>
        </w:tc>
        <w:tc>
          <w:tcPr>
            <w:tcW w:w="1400" w:type="dxa"/>
          </w:tcPr>
          <w:p>
            <w:pPr>
              <w:spacing w:before="40" w:after="40"/>
              <w:jc w:val="left"/>
            </w:pPr>
            <w:r>
              <w:rPr>
                <w:color w:val="334155"/>
                <w:sz w:val="20"/>
              </w:rPr>
              <w:t>Validated diligence record</w:t>
            </w:r>
          </w:p>
        </w:tc>
        <w:tc>
          <w:tcPr>
            <w:tcW w:w="1600" w:type="dxa"/>
          </w:tcPr>
          <w:p>
            <w:pPr>
              <w:spacing w:before="40" w:after="40"/>
              <w:jc w:val="left"/>
            </w:pPr>
            <w:r>
              <w:rPr>
                <w:color w:val="334155"/>
                <w:sz w:val="20"/>
              </w:rPr>
              <w:t>Human approval checkpoint</w:t>
            </w:r>
          </w:p>
        </w:tc>
      </w:tr>
      <w:tr>
        <w:tc>
          <w:tcPr>
            <w:tcW w:w="1400" w:type="dxa"/>
          </w:tcPr>
          <w:p>
            <w:pPr>
              <w:spacing w:before="40" w:after="40"/>
              <w:jc w:val="left"/>
            </w:pPr>
            <w:r>
              <w:rPr>
                <w:color w:val="334155"/>
                <w:sz w:val="20"/>
              </w:rPr>
              <w:t>6. Summarize</w:t>
            </w:r>
          </w:p>
        </w:tc>
        <w:tc>
          <w:tcPr>
            <w:tcW w:w="2200" w:type="dxa"/>
          </w:tcPr>
          <w:p>
            <w:pPr>
              <w:spacing w:before="40" w:after="40"/>
              <w:jc w:val="left"/>
            </w:pPr>
            <w:r>
              <w:rPr>
                <w:color w:val="334155"/>
                <w:sz w:val="20"/>
              </w:rPr>
              <w:t>AI and lawyer</w:t>
            </w:r>
          </w:p>
        </w:tc>
        <w:tc>
          <w:tcPr>
            <w:tcW w:w="1600" w:type="dxa"/>
          </w:tcPr>
          <w:p>
            <w:pPr>
              <w:spacing w:before="40" w:after="40"/>
              <w:jc w:val="left"/>
            </w:pPr>
            <w:r>
              <w:rPr>
                <w:color w:val="334155"/>
                <w:sz w:val="20"/>
              </w:rPr>
              <w:t>Validated record</w:t>
            </w:r>
          </w:p>
        </w:tc>
        <w:tc>
          <w:tcPr>
            <w:tcW w:w="1800" w:type="dxa"/>
          </w:tcPr>
          <w:p>
            <w:pPr>
              <w:spacing w:before="40" w:after="40"/>
              <w:jc w:val="left"/>
            </w:pPr>
            <w:r>
              <w:rPr>
                <w:color w:val="334155"/>
                <w:sz w:val="20"/>
              </w:rPr>
              <w:t>Draft and approve structured summaries</w:t>
            </w:r>
          </w:p>
        </w:tc>
        <w:tc>
          <w:tcPr>
            <w:tcW w:w="1400" w:type="dxa"/>
          </w:tcPr>
          <w:p>
            <w:pPr>
              <w:spacing w:before="40" w:after="40"/>
              <w:jc w:val="left"/>
            </w:pPr>
            <w:r>
              <w:rPr>
                <w:color w:val="334155"/>
                <w:sz w:val="20"/>
              </w:rPr>
              <w:t>Client-ready diligence output</w:t>
            </w:r>
          </w:p>
        </w:tc>
        <w:tc>
          <w:tcPr>
            <w:tcW w:w="1600" w:type="dxa"/>
          </w:tcPr>
          <w:p>
            <w:pPr>
              <w:spacing w:before="40" w:after="40"/>
              <w:jc w:val="left"/>
            </w:pPr>
            <w:r>
              <w:rPr>
                <w:color w:val="334155"/>
                <w:sz w:val="20"/>
              </w:rPr>
              <w:t>Final lawyer sign-off</w:t>
            </w:r>
          </w:p>
        </w:tc>
      </w:tr>
      <w:tr>
        <w:tc>
          <w:tcPr>
            <w:tcW w:w="1400" w:type="dxa"/>
          </w:tcPr>
          <w:p>
            <w:pPr>
              <w:spacing w:before="40" w:after="40"/>
              <w:jc w:val="left"/>
            </w:pPr>
            <w:r>
              <w:rPr>
                <w:color w:val="334155"/>
                <w:sz w:val="20"/>
              </w:rPr>
              <w:t>7. Report</w:t>
            </w:r>
          </w:p>
        </w:tc>
        <w:tc>
          <w:tcPr>
            <w:tcW w:w="2200" w:type="dxa"/>
          </w:tcPr>
          <w:p>
            <w:pPr>
              <w:spacing w:before="40" w:after="40"/>
              <w:jc w:val="left"/>
            </w:pPr>
            <w:r>
              <w:rPr>
                <w:color w:val="334155"/>
                <w:sz w:val="20"/>
              </w:rPr>
              <w:t>Partner, deal team</w:t>
            </w:r>
          </w:p>
        </w:tc>
        <w:tc>
          <w:tcPr>
            <w:tcW w:w="1600" w:type="dxa"/>
          </w:tcPr>
          <w:p>
            <w:pPr>
              <w:spacing w:before="40" w:after="40"/>
              <w:jc w:val="left"/>
            </w:pPr>
            <w:r>
              <w:rPr>
                <w:color w:val="334155"/>
                <w:sz w:val="20"/>
              </w:rPr>
              <w:t>Validated data</w:t>
            </w:r>
          </w:p>
        </w:tc>
        <w:tc>
          <w:tcPr>
            <w:tcW w:w="1800" w:type="dxa"/>
          </w:tcPr>
          <w:p>
            <w:pPr>
              <w:spacing w:before="40" w:after="40"/>
              <w:jc w:val="left"/>
            </w:pPr>
            <w:r>
              <w:rPr>
                <w:color w:val="334155"/>
                <w:sz w:val="20"/>
              </w:rPr>
              <w:t>Monitor risk, progress, and unresolved issues</w:t>
            </w:r>
          </w:p>
        </w:tc>
        <w:tc>
          <w:tcPr>
            <w:tcW w:w="1400" w:type="dxa"/>
          </w:tcPr>
          <w:p>
            <w:pPr>
              <w:spacing w:before="40" w:after="40"/>
              <w:jc w:val="left"/>
            </w:pPr>
            <w:r>
              <w:rPr>
                <w:color w:val="334155"/>
                <w:sz w:val="20"/>
              </w:rPr>
              <w:t>Dashboard and executive summary</w:t>
            </w:r>
          </w:p>
        </w:tc>
        <w:tc>
          <w:tcPr>
            <w:tcW w:w="1600" w:type="dxa"/>
          </w:tcPr>
          <w:p>
            <w:pPr>
              <w:spacing w:before="40" w:after="40"/>
              <w:jc w:val="left"/>
            </w:pPr>
            <w:r>
              <w:rPr>
                <w:color w:val="334155"/>
                <w:sz w:val="20"/>
              </w:rPr>
              <w:t>Audit trail</w:t>
            </w:r>
          </w:p>
        </w:tc>
      </w:tr>
    </w:tbl>
    <w:p>
      <w:pPr>
        <w:spacing w:before="80" w:after="160"/>
      </w:pPr>
    </w:p>
    <w:p>
      <w:pPr>
        <w:pStyle w:val="Heading2"/>
      </w:pPr>
      <w:r>
        <w:t>Before / After Analysis</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200"/>
        <w:gridCol w:w="2800"/>
        <w:gridCol w:w="2800"/>
        <w:gridCol w:w="2200"/>
      </w:tblGrid>
      <w:tr>
        <w:trPr>
          <w:tblHeader/>
        </w:trPr>
        <w:tc>
          <w:tcPr>
            <w:tcW w:w="2200" w:type="dxa"/>
            <w:shd w:val="clear" w:fill="f1f5f9"/>
          </w:tcPr>
          <w:p>
            <w:pPr>
              <w:spacing w:before="60" w:after="60"/>
              <w:jc w:val="left"/>
            </w:pPr>
            <w:r>
              <w:rPr>
                <w:b/>
                <w:color w:val="0f172a"/>
                <w:sz w:val="20"/>
              </w:rPr>
              <w:t>Dimension</w:t>
            </w:r>
          </w:p>
        </w:tc>
        <w:tc>
          <w:tcPr>
            <w:tcW w:w="2800" w:type="dxa"/>
            <w:shd w:val="clear" w:fill="f1f5f9"/>
          </w:tcPr>
          <w:p>
            <w:pPr>
              <w:spacing w:before="60" w:after="60"/>
              <w:jc w:val="left"/>
            </w:pPr>
            <w:r>
              <w:rPr>
                <w:b/>
                <w:color w:val="0f172a"/>
                <w:sz w:val="20"/>
              </w:rPr>
              <w:t>Before</w:t>
            </w:r>
          </w:p>
        </w:tc>
        <w:tc>
          <w:tcPr>
            <w:tcW w:w="2800" w:type="dxa"/>
            <w:shd w:val="clear" w:fill="f1f5f9"/>
          </w:tcPr>
          <w:p>
            <w:pPr>
              <w:spacing w:before="60" w:after="60"/>
              <w:jc w:val="left"/>
            </w:pPr>
            <w:r>
              <w:rPr>
                <w:b/>
                <w:color w:val="0f172a"/>
                <w:sz w:val="20"/>
              </w:rPr>
              <w:t>After</w:t>
            </w:r>
          </w:p>
        </w:tc>
        <w:tc>
          <w:tcPr>
            <w:tcW w:w="2200" w:type="dxa"/>
            <w:shd w:val="clear" w:fill="f1f5f9"/>
          </w:tcPr>
          <w:p>
            <w:pPr>
              <w:spacing w:before="60" w:after="60"/>
              <w:jc w:val="left"/>
            </w:pPr>
            <w:r>
              <w:rPr>
                <w:b/>
                <w:color w:val="0f172a"/>
                <w:sz w:val="20"/>
              </w:rPr>
              <w:t>Business Impact</w:t>
            </w:r>
          </w:p>
        </w:tc>
      </w:tr>
      <w:tr>
        <w:tc>
          <w:tcPr>
            <w:tcW w:w="2200" w:type="dxa"/>
          </w:tcPr>
          <w:p>
            <w:pPr>
              <w:spacing w:before="40" w:after="40"/>
              <w:jc w:val="left"/>
            </w:pPr>
            <w:r>
              <w:rPr>
                <w:color w:val="334155"/>
                <w:sz w:val="20"/>
              </w:rPr>
              <w:t>Contract review</w:t>
            </w:r>
          </w:p>
        </w:tc>
        <w:tc>
          <w:tcPr>
            <w:tcW w:w="2800" w:type="dxa"/>
          </w:tcPr>
          <w:p>
            <w:pPr>
              <w:spacing w:before="40" w:after="40"/>
              <w:jc w:val="left"/>
            </w:pPr>
            <w:r>
              <w:rPr>
                <w:color w:val="334155"/>
                <w:sz w:val="20"/>
              </w:rPr>
              <w:t>Manual reading and extraction</w:t>
            </w:r>
          </w:p>
        </w:tc>
        <w:tc>
          <w:tcPr>
            <w:tcW w:w="2800" w:type="dxa"/>
          </w:tcPr>
          <w:p>
            <w:pPr>
              <w:spacing w:before="40" w:after="40"/>
              <w:jc w:val="left"/>
            </w:pPr>
            <w:r>
              <w:rPr>
                <w:color w:val="334155"/>
                <w:sz w:val="20"/>
              </w:rPr>
              <w:t>AI-assisted first-pass review</w:t>
            </w:r>
          </w:p>
        </w:tc>
        <w:tc>
          <w:tcPr>
            <w:tcW w:w="2200" w:type="dxa"/>
          </w:tcPr>
          <w:p>
            <w:pPr>
              <w:spacing w:before="40" w:after="40"/>
              <w:jc w:val="left"/>
            </w:pPr>
            <w:r>
              <w:rPr>
                <w:color w:val="334155"/>
                <w:sz w:val="20"/>
              </w:rPr>
              <w:t>Lower cost and faster throughput</w:t>
            </w:r>
          </w:p>
        </w:tc>
      </w:tr>
      <w:tr>
        <w:tc>
          <w:tcPr>
            <w:tcW w:w="2200" w:type="dxa"/>
          </w:tcPr>
          <w:p>
            <w:pPr>
              <w:spacing w:before="40" w:after="40"/>
              <w:jc w:val="left"/>
            </w:pPr>
            <w:r>
              <w:rPr>
                <w:color w:val="334155"/>
                <w:sz w:val="20"/>
              </w:rPr>
              <w:t>Legal judgment</w:t>
            </w:r>
          </w:p>
        </w:tc>
        <w:tc>
          <w:tcPr>
            <w:tcW w:w="2800" w:type="dxa"/>
          </w:tcPr>
          <w:p>
            <w:pPr>
              <w:spacing w:before="40" w:after="40"/>
              <w:jc w:val="left"/>
            </w:pPr>
            <w:r>
              <w:rPr>
                <w:color w:val="334155"/>
                <w:sz w:val="20"/>
              </w:rPr>
              <w:t>Mixed with repetitive mechanics</w:t>
            </w:r>
          </w:p>
        </w:tc>
        <w:tc>
          <w:tcPr>
            <w:tcW w:w="2800" w:type="dxa"/>
          </w:tcPr>
          <w:p>
            <w:pPr>
              <w:spacing w:before="40" w:after="40"/>
              <w:jc w:val="left"/>
            </w:pPr>
            <w:r>
              <w:rPr>
                <w:color w:val="334155"/>
                <w:sz w:val="20"/>
              </w:rPr>
              <w:t>Reserved for validation and decision-making</w:t>
            </w:r>
          </w:p>
        </w:tc>
        <w:tc>
          <w:tcPr>
            <w:tcW w:w="2200" w:type="dxa"/>
          </w:tcPr>
          <w:p>
            <w:pPr>
              <w:spacing w:before="40" w:after="40"/>
              <w:jc w:val="left"/>
            </w:pPr>
            <w:r>
              <w:rPr>
                <w:color w:val="334155"/>
                <w:sz w:val="20"/>
              </w:rPr>
              <w:t>Better use of expert time</w:t>
            </w:r>
          </w:p>
        </w:tc>
      </w:tr>
      <w:tr>
        <w:tc>
          <w:tcPr>
            <w:tcW w:w="2200" w:type="dxa"/>
          </w:tcPr>
          <w:p>
            <w:pPr>
              <w:spacing w:before="40" w:after="40"/>
              <w:jc w:val="left"/>
            </w:pPr>
            <w:r>
              <w:rPr>
                <w:color w:val="334155"/>
                <w:sz w:val="20"/>
              </w:rPr>
              <w:t>Output consistency</w:t>
            </w:r>
          </w:p>
        </w:tc>
        <w:tc>
          <w:tcPr>
            <w:tcW w:w="2800" w:type="dxa"/>
          </w:tcPr>
          <w:p>
            <w:pPr>
              <w:spacing w:before="40" w:after="40"/>
              <w:jc w:val="left"/>
            </w:pPr>
            <w:r>
              <w:rPr>
                <w:color w:val="334155"/>
                <w:sz w:val="20"/>
              </w:rPr>
              <w:t>Reviewer-dependent summaries</w:t>
            </w:r>
          </w:p>
        </w:tc>
        <w:tc>
          <w:tcPr>
            <w:tcW w:w="2800" w:type="dxa"/>
          </w:tcPr>
          <w:p>
            <w:pPr>
              <w:spacing w:before="40" w:after="40"/>
              <w:jc w:val="left"/>
            </w:pPr>
            <w:r>
              <w:rPr>
                <w:color w:val="334155"/>
                <w:sz w:val="20"/>
              </w:rPr>
              <w:t>Standardized risk labels and summary structure</w:t>
            </w:r>
          </w:p>
        </w:tc>
        <w:tc>
          <w:tcPr>
            <w:tcW w:w="2200" w:type="dxa"/>
          </w:tcPr>
          <w:p>
            <w:pPr>
              <w:spacing w:before="40" w:after="40"/>
              <w:jc w:val="left"/>
            </w:pPr>
            <w:r>
              <w:rPr>
                <w:color w:val="334155"/>
                <w:sz w:val="20"/>
              </w:rPr>
              <w:t>More reliable client deliverables</w:t>
            </w:r>
          </w:p>
        </w:tc>
      </w:tr>
      <w:tr>
        <w:tc>
          <w:tcPr>
            <w:tcW w:w="2200" w:type="dxa"/>
          </w:tcPr>
          <w:p>
            <w:pPr>
              <w:spacing w:before="40" w:after="40"/>
              <w:jc w:val="left"/>
            </w:pPr>
            <w:r>
              <w:rPr>
                <w:color w:val="334155"/>
                <w:sz w:val="20"/>
              </w:rPr>
              <w:t>Deal visibility</w:t>
            </w:r>
          </w:p>
        </w:tc>
        <w:tc>
          <w:tcPr>
            <w:tcW w:w="2800" w:type="dxa"/>
          </w:tcPr>
          <w:p>
            <w:pPr>
              <w:spacing w:before="40" w:after="40"/>
              <w:jc w:val="left"/>
            </w:pPr>
            <w:r>
              <w:rPr>
                <w:color w:val="334155"/>
                <w:sz w:val="20"/>
              </w:rPr>
              <w:t>Periodic status updates</w:t>
            </w:r>
          </w:p>
        </w:tc>
        <w:tc>
          <w:tcPr>
            <w:tcW w:w="2800" w:type="dxa"/>
          </w:tcPr>
          <w:p>
            <w:pPr>
              <w:spacing w:before="40" w:after="40"/>
              <w:jc w:val="left"/>
            </w:pPr>
            <w:r>
              <w:rPr>
                <w:color w:val="334155"/>
                <w:sz w:val="20"/>
              </w:rPr>
              <w:t>Real-time dashboard and risk distribution</w:t>
            </w:r>
          </w:p>
        </w:tc>
        <w:tc>
          <w:tcPr>
            <w:tcW w:w="2200" w:type="dxa"/>
          </w:tcPr>
          <w:p>
            <w:pPr>
              <w:spacing w:before="40" w:after="40"/>
              <w:jc w:val="left"/>
            </w:pPr>
            <w:r>
              <w:rPr>
                <w:color w:val="334155"/>
                <w:sz w:val="20"/>
              </w:rPr>
              <w:t>Faster partner and client decisions</w:t>
            </w:r>
          </w:p>
        </w:tc>
      </w:tr>
      <w:tr>
        <w:tc>
          <w:tcPr>
            <w:tcW w:w="2200" w:type="dxa"/>
          </w:tcPr>
          <w:p>
            <w:pPr>
              <w:spacing w:before="40" w:after="40"/>
              <w:jc w:val="left"/>
            </w:pPr>
            <w:r>
              <w:rPr>
                <w:color w:val="334155"/>
                <w:sz w:val="20"/>
              </w:rPr>
              <w:t>Margin economics</w:t>
            </w:r>
          </w:p>
        </w:tc>
        <w:tc>
          <w:tcPr>
            <w:tcW w:w="2800" w:type="dxa"/>
          </w:tcPr>
          <w:p>
            <w:pPr>
              <w:spacing w:before="40" w:after="40"/>
              <w:jc w:val="left"/>
            </w:pPr>
            <w:r>
              <w:rPr>
                <w:color w:val="334155"/>
                <w:sz w:val="20"/>
              </w:rPr>
              <w:t>Review hours scale with document volume</w:t>
            </w:r>
          </w:p>
        </w:tc>
        <w:tc>
          <w:tcPr>
            <w:tcW w:w="2800" w:type="dxa"/>
          </w:tcPr>
          <w:p>
            <w:pPr>
              <w:spacing w:before="40" w:after="40"/>
              <w:jc w:val="left"/>
            </w:pPr>
            <w:r>
              <w:rPr>
                <w:color w:val="334155"/>
                <w:sz w:val="20"/>
              </w:rPr>
              <w:t>AI compresses mechanical workload</w:t>
            </w:r>
          </w:p>
        </w:tc>
        <w:tc>
          <w:tcPr>
            <w:tcW w:w="2200" w:type="dxa"/>
          </w:tcPr>
          <w:p>
            <w:pPr>
              <w:spacing w:before="40" w:after="40"/>
              <w:jc w:val="left"/>
            </w:pPr>
            <w:r>
              <w:rPr>
                <w:color w:val="334155"/>
                <w:sz w:val="20"/>
              </w:rPr>
              <w:t>Higher profitability</w:t>
            </w:r>
          </w:p>
        </w:tc>
      </w:tr>
      <w:tr>
        <w:tc>
          <w:tcPr>
            <w:tcW w:w="2200" w:type="dxa"/>
          </w:tcPr>
          <w:p>
            <w:pPr>
              <w:spacing w:before="40" w:after="40"/>
              <w:jc w:val="left"/>
            </w:pPr>
            <w:r>
              <w:rPr>
                <w:color w:val="334155"/>
                <w:sz w:val="20"/>
              </w:rPr>
              <w:t>AI risk</w:t>
            </w:r>
          </w:p>
        </w:tc>
        <w:tc>
          <w:tcPr>
            <w:tcW w:w="2800" w:type="dxa"/>
          </w:tcPr>
          <w:p>
            <w:pPr>
              <w:spacing w:before="40" w:after="40"/>
              <w:jc w:val="left"/>
            </w:pPr>
            <w:r>
              <w:rPr>
                <w:color w:val="334155"/>
                <w:sz w:val="20"/>
              </w:rPr>
              <w:t>Uncontrolled if used informally</w:t>
            </w:r>
          </w:p>
        </w:tc>
        <w:tc>
          <w:tcPr>
            <w:tcW w:w="2800" w:type="dxa"/>
          </w:tcPr>
          <w:p>
            <w:pPr>
              <w:spacing w:before="40" w:after="40"/>
              <w:jc w:val="left"/>
            </w:pPr>
            <w:r>
              <w:rPr>
                <w:color w:val="334155"/>
                <w:sz w:val="20"/>
              </w:rPr>
              <w:t>Source-grounded workflow with lawyer sign-off</w:t>
            </w:r>
          </w:p>
        </w:tc>
        <w:tc>
          <w:tcPr>
            <w:tcW w:w="2200" w:type="dxa"/>
          </w:tcPr>
          <w:p>
            <w:pPr>
              <w:spacing w:before="40" w:after="40"/>
              <w:jc w:val="left"/>
            </w:pPr>
            <w:r>
              <w:rPr>
                <w:color w:val="334155"/>
                <w:sz w:val="20"/>
              </w:rPr>
              <w:t>Safer adoption</w:t>
            </w:r>
          </w:p>
        </w:tc>
      </w:tr>
    </w:tbl>
    <w:p>
      <w:pPr>
        <w:spacing w:before="80" w:after="160"/>
      </w:pPr>
    </w:p>
    <w:p>
      <w:pPr>
        <w:pStyle w:val="Heading2"/>
      </w:pPr>
      <w:r>
        <w:t>Risk Controls and Governance</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2800"/>
        <w:gridCol w:w="7200"/>
      </w:tblGrid>
      <w:tr>
        <w:trPr>
          <w:tblHeader/>
        </w:trPr>
        <w:tc>
          <w:tcPr>
            <w:tcW w:w="2800" w:type="dxa"/>
            <w:shd w:val="clear" w:fill="f1f5f9"/>
          </w:tcPr>
          <w:p>
            <w:pPr>
              <w:spacing w:before="60" w:after="60"/>
              <w:jc w:val="left"/>
            </w:pPr>
            <w:r>
              <w:rPr>
                <w:b/>
                <w:color w:val="0f172a"/>
                <w:sz w:val="20"/>
              </w:rPr>
              <w:t>Control Area</w:t>
            </w:r>
          </w:p>
        </w:tc>
        <w:tc>
          <w:tcPr>
            <w:tcW w:w="7200" w:type="dxa"/>
            <w:shd w:val="clear" w:fill="f1f5f9"/>
          </w:tcPr>
          <w:p>
            <w:pPr>
              <w:spacing w:before="60" w:after="60"/>
              <w:jc w:val="left"/>
            </w:pPr>
            <w:r>
              <w:rPr>
                <w:b/>
                <w:color w:val="0f172a"/>
                <w:sz w:val="20"/>
              </w:rPr>
              <w:t>Governance Design</w:t>
            </w:r>
          </w:p>
        </w:tc>
      </w:tr>
      <w:tr>
        <w:tc>
          <w:tcPr>
            <w:tcW w:w="2800" w:type="dxa"/>
          </w:tcPr>
          <w:p>
            <w:pPr>
              <w:spacing w:before="40" w:after="40"/>
              <w:jc w:val="left"/>
            </w:pPr>
            <w:r>
              <w:rPr>
                <w:color w:val="334155"/>
                <w:sz w:val="20"/>
              </w:rPr>
              <w:t>Human review checkpoints</w:t>
            </w:r>
          </w:p>
        </w:tc>
        <w:tc>
          <w:tcPr>
            <w:tcW w:w="7200" w:type="dxa"/>
          </w:tcPr>
          <w:p>
            <w:pPr>
              <w:spacing w:before="40" w:after="40"/>
              <w:jc w:val="left"/>
            </w:pPr>
            <w:r>
              <w:rPr>
                <w:color w:val="334155"/>
                <w:sz w:val="20"/>
              </w:rPr>
              <w:t>Lawyers validate all material findings before client delivery</w:t>
            </w:r>
          </w:p>
        </w:tc>
      </w:tr>
      <w:tr>
        <w:tc>
          <w:tcPr>
            <w:tcW w:w="2800" w:type="dxa"/>
          </w:tcPr>
          <w:p>
            <w:pPr>
              <w:spacing w:before="40" w:after="40"/>
              <w:jc w:val="left"/>
            </w:pPr>
            <w:r>
              <w:rPr>
                <w:color w:val="334155"/>
                <w:sz w:val="20"/>
              </w:rPr>
              <w:t>Source grounding</w:t>
            </w:r>
          </w:p>
        </w:tc>
        <w:tc>
          <w:tcPr>
            <w:tcW w:w="7200" w:type="dxa"/>
          </w:tcPr>
          <w:p>
            <w:pPr>
              <w:spacing w:before="40" w:after="40"/>
              <w:jc w:val="left"/>
            </w:pPr>
            <w:r>
              <w:rPr>
                <w:color w:val="334155"/>
                <w:sz w:val="20"/>
              </w:rPr>
              <w:t>AI outputs must link to contract language or source location</w:t>
            </w:r>
          </w:p>
        </w:tc>
      </w:tr>
      <w:tr>
        <w:tc>
          <w:tcPr>
            <w:tcW w:w="2800" w:type="dxa"/>
          </w:tcPr>
          <w:p>
            <w:pPr>
              <w:spacing w:before="40" w:after="40"/>
              <w:jc w:val="left"/>
            </w:pPr>
            <w:r>
              <w:rPr>
                <w:color w:val="334155"/>
                <w:sz w:val="20"/>
              </w:rPr>
              <w:t>Confidence thresholds</w:t>
            </w:r>
          </w:p>
        </w:tc>
        <w:tc>
          <w:tcPr>
            <w:tcW w:w="7200" w:type="dxa"/>
          </w:tcPr>
          <w:p>
            <w:pPr>
              <w:spacing w:before="40" w:after="40"/>
              <w:jc w:val="left"/>
            </w:pPr>
            <w:r>
              <w:rPr>
                <w:color w:val="334155"/>
                <w:sz w:val="20"/>
              </w:rPr>
              <w:t>Low-confidence results are escalated for manual review</w:t>
            </w:r>
          </w:p>
        </w:tc>
      </w:tr>
      <w:tr>
        <w:tc>
          <w:tcPr>
            <w:tcW w:w="2800" w:type="dxa"/>
          </w:tcPr>
          <w:p>
            <w:pPr>
              <w:spacing w:before="40" w:after="40"/>
              <w:jc w:val="left"/>
            </w:pPr>
            <w:r>
              <w:rPr>
                <w:color w:val="334155"/>
                <w:sz w:val="20"/>
              </w:rPr>
              <w:t>Hallucination defense</w:t>
            </w:r>
          </w:p>
        </w:tc>
        <w:tc>
          <w:tcPr>
            <w:tcW w:w="7200" w:type="dxa"/>
          </w:tcPr>
          <w:p>
            <w:pPr>
              <w:spacing w:before="40" w:after="40"/>
              <w:jc w:val="left"/>
            </w:pPr>
            <w:r>
              <w:rPr>
                <w:color w:val="334155"/>
                <w:sz w:val="20"/>
              </w:rPr>
              <w:t>No unsupported clauses, risks, or summaries can pass validation</w:t>
            </w:r>
          </w:p>
        </w:tc>
      </w:tr>
      <w:tr>
        <w:tc>
          <w:tcPr>
            <w:tcW w:w="2800" w:type="dxa"/>
          </w:tcPr>
          <w:p>
            <w:pPr>
              <w:spacing w:before="40" w:after="40"/>
              <w:jc w:val="left"/>
            </w:pPr>
            <w:r>
              <w:rPr>
                <w:color w:val="334155"/>
                <w:sz w:val="20"/>
              </w:rPr>
              <w:t>Data security</w:t>
            </w:r>
          </w:p>
        </w:tc>
        <w:tc>
          <w:tcPr>
            <w:tcW w:w="7200" w:type="dxa"/>
          </w:tcPr>
          <w:p>
            <w:pPr>
              <w:spacing w:before="40" w:after="40"/>
              <w:jc w:val="left"/>
            </w:pPr>
            <w:r>
              <w:rPr>
                <w:color w:val="334155"/>
                <w:sz w:val="20"/>
              </w:rPr>
              <w:t>Contract sets are handled under confidentiality, access controls, and matter-level permissions</w:t>
            </w:r>
          </w:p>
        </w:tc>
      </w:tr>
      <w:tr>
        <w:tc>
          <w:tcPr>
            <w:tcW w:w="2800" w:type="dxa"/>
          </w:tcPr>
          <w:p>
            <w:pPr>
              <w:spacing w:before="40" w:after="40"/>
              <w:jc w:val="left"/>
            </w:pPr>
            <w:r>
              <w:rPr>
                <w:color w:val="334155"/>
                <w:sz w:val="20"/>
              </w:rPr>
              <w:t>Quality assurance</w:t>
            </w:r>
          </w:p>
        </w:tc>
        <w:tc>
          <w:tcPr>
            <w:tcW w:w="7200" w:type="dxa"/>
          </w:tcPr>
          <w:p>
            <w:pPr>
              <w:spacing w:before="40" w:after="40"/>
              <w:jc w:val="left"/>
            </w:pPr>
            <w:r>
              <w:rPr>
                <w:color w:val="334155"/>
                <w:sz w:val="20"/>
              </w:rPr>
              <w:t>Sample review, correction tracking, and issue taxonomy refinement</w:t>
            </w:r>
          </w:p>
        </w:tc>
      </w:tr>
      <w:tr>
        <w:tc>
          <w:tcPr>
            <w:tcW w:w="2800" w:type="dxa"/>
          </w:tcPr>
          <w:p>
            <w:pPr>
              <w:spacing w:before="40" w:after="40"/>
              <w:jc w:val="left"/>
            </w:pPr>
            <w:r>
              <w:rPr>
                <w:color w:val="334155"/>
                <w:sz w:val="20"/>
              </w:rPr>
              <w:t>Decision ownership</w:t>
            </w:r>
          </w:p>
        </w:tc>
        <w:tc>
          <w:tcPr>
            <w:tcW w:w="7200" w:type="dxa"/>
          </w:tcPr>
          <w:p>
            <w:pPr>
              <w:spacing w:before="40" w:after="40"/>
              <w:jc w:val="left"/>
            </w:pPr>
            <w:r>
              <w:rPr>
                <w:color w:val="334155"/>
                <w:sz w:val="20"/>
              </w:rPr>
              <w:t>Lawyers remain responsible for legal interpretation and advice</w:t>
            </w:r>
          </w:p>
        </w:tc>
      </w:tr>
      <w:tr>
        <w:tc>
          <w:tcPr>
            <w:tcW w:w="2800" w:type="dxa"/>
          </w:tcPr>
          <w:p>
            <w:pPr>
              <w:spacing w:before="40" w:after="40"/>
              <w:jc w:val="left"/>
            </w:pPr>
            <w:r>
              <w:rPr>
                <w:color w:val="334155"/>
                <w:sz w:val="20"/>
              </w:rPr>
              <w:t>Auditability</w:t>
            </w:r>
          </w:p>
        </w:tc>
        <w:tc>
          <w:tcPr>
            <w:tcW w:w="7200" w:type="dxa"/>
          </w:tcPr>
          <w:p>
            <w:pPr>
              <w:spacing w:before="40" w:after="40"/>
              <w:jc w:val="left"/>
            </w:pPr>
            <w:r>
              <w:rPr>
                <w:color w:val="334155"/>
                <w:sz w:val="20"/>
              </w:rPr>
              <w:t>Review decisions, corrections, timestamps, and reviewer identities are captured</w:t>
            </w:r>
          </w:p>
        </w:tc>
      </w:tr>
    </w:tbl>
    <w:p>
      <w:pPr>
        <w:spacing w:before="80" w:after="160"/>
      </w:pPr>
    </w:p>
    <w:p>
      <w:pPr>
        <w:pStyle w:val="Heading2"/>
      </w:pPr>
      <w:r>
        <w:t>Metrics and Expected Impact</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4000"/>
        <w:gridCol w:w="6000"/>
      </w:tblGrid>
      <w:tr>
        <w:trPr>
          <w:tblHeader/>
        </w:trPr>
        <w:tc>
          <w:tcPr>
            <w:tcW w:w="4000" w:type="dxa"/>
            <w:shd w:val="clear" w:fill="f1f5f9"/>
          </w:tcPr>
          <w:p>
            <w:pPr>
              <w:spacing w:before="60" w:after="60"/>
              <w:jc w:val="left"/>
            </w:pPr>
            <w:r>
              <w:rPr>
                <w:b/>
                <w:color w:val="0f172a"/>
                <w:sz w:val="20"/>
              </w:rPr>
              <w:t>KPI</w:t>
            </w:r>
          </w:p>
        </w:tc>
        <w:tc>
          <w:tcPr>
            <w:tcW w:w="6000" w:type="dxa"/>
            <w:shd w:val="clear" w:fill="f1f5f9"/>
          </w:tcPr>
          <w:p>
            <w:pPr>
              <w:spacing w:before="60" w:after="60"/>
              <w:jc w:val="left"/>
            </w:pPr>
            <w:r>
              <w:rPr>
                <w:b/>
                <w:color w:val="0f172a"/>
                <w:sz w:val="20"/>
              </w:rPr>
              <w:t>Projected Impact</w:t>
            </w:r>
          </w:p>
        </w:tc>
      </w:tr>
      <w:tr>
        <w:tc>
          <w:tcPr>
            <w:tcW w:w="4000" w:type="dxa"/>
          </w:tcPr>
          <w:p>
            <w:pPr>
              <w:spacing w:before="40" w:after="40"/>
              <w:jc w:val="left"/>
            </w:pPr>
            <w:r>
              <w:rPr>
                <w:color w:val="334155"/>
                <w:sz w:val="20"/>
              </w:rPr>
              <w:t>Review time reduction</w:t>
            </w:r>
          </w:p>
        </w:tc>
        <w:tc>
          <w:tcPr>
            <w:tcW w:w="6000" w:type="dxa"/>
          </w:tcPr>
          <w:p>
            <w:pPr>
              <w:spacing w:before="40" w:after="40"/>
              <w:jc w:val="left"/>
            </w:pPr>
            <w:r>
              <w:rPr>
                <w:color w:val="334155"/>
                <w:sz w:val="20"/>
              </w:rPr>
              <w:t>55-65% reduction in attorney review time</w:t>
            </w:r>
          </w:p>
        </w:tc>
      </w:tr>
      <w:tr>
        <w:tc>
          <w:tcPr>
            <w:tcW w:w="4000" w:type="dxa"/>
          </w:tcPr>
          <w:p>
            <w:pPr>
              <w:spacing w:before="40" w:after="40"/>
              <w:jc w:val="left"/>
            </w:pPr>
            <w:r>
              <w:rPr>
                <w:color w:val="334155"/>
                <w:sz w:val="20"/>
              </w:rPr>
              <w:t>Annual savings</w:t>
            </w:r>
          </w:p>
        </w:tc>
        <w:tc>
          <w:tcPr>
            <w:tcW w:w="6000" w:type="dxa"/>
          </w:tcPr>
          <w:p>
            <w:pPr>
              <w:spacing w:before="40" w:after="40"/>
              <w:jc w:val="left"/>
            </w:pPr>
            <w:r>
              <w:rPr>
                <w:color w:val="334155"/>
                <w:sz w:val="20"/>
              </w:rPr>
              <w:t>$2.5M-$3.75M equivalent savings for high-volume review operations</w:t>
            </w:r>
          </w:p>
        </w:tc>
      </w:tr>
      <w:tr>
        <w:tc>
          <w:tcPr>
            <w:tcW w:w="4000" w:type="dxa"/>
          </w:tcPr>
          <w:p>
            <w:pPr>
              <w:spacing w:before="40" w:after="40"/>
              <w:jc w:val="left"/>
            </w:pPr>
            <w:r>
              <w:rPr>
                <w:color w:val="334155"/>
                <w:sz w:val="20"/>
              </w:rPr>
              <w:t>Margin improvement</w:t>
            </w:r>
          </w:p>
        </w:tc>
        <w:tc>
          <w:tcPr>
            <w:tcW w:w="6000" w:type="dxa"/>
          </w:tcPr>
          <w:p>
            <w:pPr>
              <w:spacing w:before="40" w:after="40"/>
              <w:jc w:val="left"/>
            </w:pPr>
            <w:r>
              <w:rPr>
                <w:color w:val="334155"/>
                <w:sz w:val="20"/>
              </w:rPr>
              <w:t>Increase from low double-digit margin to 70%+ contribution margin on standardized review work</w:t>
            </w:r>
          </w:p>
        </w:tc>
      </w:tr>
      <w:tr>
        <w:tc>
          <w:tcPr>
            <w:tcW w:w="4000" w:type="dxa"/>
          </w:tcPr>
          <w:p>
            <w:pPr>
              <w:spacing w:before="40" w:after="40"/>
              <w:jc w:val="left"/>
            </w:pPr>
            <w:r>
              <w:rPr>
                <w:color w:val="334155"/>
                <w:sz w:val="20"/>
              </w:rPr>
              <w:t>Payback period</w:t>
            </w:r>
          </w:p>
        </w:tc>
        <w:tc>
          <w:tcPr>
            <w:tcW w:w="6000" w:type="dxa"/>
          </w:tcPr>
          <w:p>
            <w:pPr>
              <w:spacing w:before="40" w:after="40"/>
              <w:jc w:val="left"/>
            </w:pPr>
            <w:r>
              <w:rPr>
                <w:color w:val="334155"/>
                <w:sz w:val="20"/>
              </w:rPr>
              <w:t>Less than 2 weeks for repeat high-volume workflows</w:t>
            </w:r>
          </w:p>
        </w:tc>
      </w:tr>
      <w:tr>
        <w:tc>
          <w:tcPr>
            <w:tcW w:w="4000" w:type="dxa"/>
          </w:tcPr>
          <w:p>
            <w:pPr>
              <w:spacing w:before="40" w:after="40"/>
              <w:jc w:val="left"/>
            </w:pPr>
            <w:r>
              <w:rPr>
                <w:color w:val="334155"/>
                <w:sz w:val="20"/>
              </w:rPr>
              <w:t>Inconsistency reduction</w:t>
            </w:r>
          </w:p>
        </w:tc>
        <w:tc>
          <w:tcPr>
            <w:tcW w:w="6000" w:type="dxa"/>
          </w:tcPr>
          <w:p>
            <w:pPr>
              <w:spacing w:before="40" w:after="40"/>
              <w:jc w:val="left"/>
            </w:pPr>
            <w:r>
              <w:rPr>
                <w:color w:val="334155"/>
                <w:sz w:val="20"/>
              </w:rPr>
              <w:t>50-70% improvement through standardized extraction and risk labels</w:t>
            </w:r>
          </w:p>
        </w:tc>
      </w:tr>
      <w:tr>
        <w:tc>
          <w:tcPr>
            <w:tcW w:w="4000" w:type="dxa"/>
          </w:tcPr>
          <w:p>
            <w:pPr>
              <w:spacing w:before="40" w:after="40"/>
              <w:jc w:val="left"/>
            </w:pPr>
            <w:r>
              <w:rPr>
                <w:color w:val="334155"/>
                <w:sz w:val="20"/>
              </w:rPr>
              <w:t>Hallucination rate</w:t>
            </w:r>
          </w:p>
        </w:tc>
        <w:tc>
          <w:tcPr>
            <w:tcW w:w="6000" w:type="dxa"/>
          </w:tcPr>
          <w:p>
            <w:pPr>
              <w:spacing w:before="40" w:after="40"/>
              <w:jc w:val="left"/>
            </w:pPr>
            <w:r>
              <w:rPr>
                <w:color w:val="334155"/>
                <w:sz w:val="20"/>
              </w:rPr>
              <w:t>Target below 1% after source-grounded validation</w:t>
            </w:r>
          </w:p>
        </w:tc>
      </w:tr>
      <w:tr>
        <w:tc>
          <w:tcPr>
            <w:tcW w:w="4000" w:type="dxa"/>
          </w:tcPr>
          <w:p>
            <w:pPr>
              <w:spacing w:before="40" w:after="40"/>
              <w:jc w:val="left"/>
            </w:pPr>
            <w:r>
              <w:rPr>
                <w:color w:val="334155"/>
                <w:sz w:val="20"/>
              </w:rPr>
              <w:t>Client delivery speed</w:t>
            </w:r>
          </w:p>
        </w:tc>
        <w:tc>
          <w:tcPr>
            <w:tcW w:w="6000" w:type="dxa"/>
          </w:tcPr>
          <w:p>
            <w:pPr>
              <w:spacing w:before="40" w:after="40"/>
              <w:jc w:val="left"/>
            </w:pPr>
            <w:r>
              <w:rPr>
                <w:color w:val="334155"/>
                <w:sz w:val="20"/>
              </w:rPr>
              <w:t>40-60% faster delivery of first diligence summaries</w:t>
            </w:r>
          </w:p>
        </w:tc>
      </w:tr>
    </w:tbl>
    <w:p>
      <w:pPr>
        <w:spacing w:before="80" w:after="160"/>
      </w:pPr>
    </w:p>
    <w:p>
      <w:pPr>
        <w:pStyle w:val="Heading2"/>
      </w:pPr>
      <w:r>
        <w:t>Deliverables</w:t>
      </w:r>
    </w:p>
    <w:p>
      <w:pPr>
        <w:ind w:left="720"/>
      </w:pPr>
      <w:r>
        <w:t>• AI-augmented due diligence operating model</w:t>
      </w:r>
    </w:p>
    <w:p>
      <w:pPr>
        <w:ind w:left="720"/>
      </w:pPr>
      <w:r>
        <w:t>• Contract review workflow map</w:t>
      </w:r>
    </w:p>
    <w:p>
      <w:pPr>
        <w:ind w:left="720"/>
      </w:pPr>
      <w:r>
        <w:t>• Clause classification taxonomy</w:t>
      </w:r>
    </w:p>
    <w:p>
      <w:pPr>
        <w:ind w:left="720"/>
      </w:pPr>
      <w:r>
        <w:t>• Key-term extraction schema</w:t>
      </w:r>
    </w:p>
    <w:p>
      <w:pPr>
        <w:ind w:left="720"/>
      </w:pPr>
      <w:r>
        <w:t>• Risk flagging framework</w:t>
      </w:r>
    </w:p>
    <w:p>
      <w:pPr>
        <w:ind w:left="720"/>
      </w:pPr>
      <w:r>
        <w:t>• Hallucination defense model</w:t>
      </w:r>
    </w:p>
    <w:p>
      <w:pPr>
        <w:ind w:left="720"/>
      </w:pPr>
      <w:r>
        <w:t>• Lawyer-in-the-loop governance matrix</w:t>
      </w:r>
    </w:p>
    <w:p>
      <w:pPr>
        <w:ind w:left="720"/>
      </w:pPr>
      <w:r>
        <w:t>• Dashboard and UX structure</w:t>
      </w:r>
    </w:p>
    <w:p>
      <w:pPr>
        <w:ind w:left="720"/>
      </w:pPr>
      <w:r>
        <w:t>• Before/after economics analysis</w:t>
      </w:r>
    </w:p>
    <w:p>
      <w:pPr>
        <w:ind w:left="720"/>
      </w:pPr>
      <w:r>
        <w:t>• Implementation roadmap</w:t>
      </w:r>
    </w:p>
    <w:p>
      <w:pPr>
        <w:ind w:left="720"/>
      </w:pPr>
      <w:r>
        <w:t>• Client-ready legaltech transformation narrative</w:t>
      </w:r>
    </w:p>
    <w:p>
      <w:pPr>
        <w:pStyle w:val="Heading2"/>
      </w:pPr>
      <w:r>
        <w:t>Tools and Methods</w:t>
      </w:r>
    </w:p>
    <w:p>
      <w:r>
        <w:t>Figma for workflow dashboard and review interface structure; Miro for service blueprinting; Excel for time, cost, margin, and payback modeling; PowerPoint for executive and client presentation; Notion for taxonomy, process documentation, and review protocols; ChatGPT or AI-assisted research for clause taxonomy and workflow prototyping; legal process mapping; heuristic workflow analysis; risk matrix design; prompt-chain design; human-in-the-loop quality assurance.</w:t>
      </w:r>
    </w:p>
    <w:p>
      <w:pPr>
        <w:pStyle w:val="Heading2"/>
      </w:pPr>
      <w:r>
        <w:t>Implementation Roadmap</w:t>
      </w:r>
    </w:p>
    <w:p>
      <w:pPr>
        <w:spacing w:before="160" w:after="80"/>
      </w:pPr>
    </w:p>
    <w:tbl>
      <w:tblPr>
        <w:tblW w:w="5000" w:type="pct"/>
        <w:tblBorders>
          <w:top w:val="single" w:color="06b6d4" w:sz="12"/>
          <w:left w:val="nil"/>
          <w:bottom w:val="single" w:color="06b6d4" w:sz="12"/>
          <w:right w:val="nil"/>
          <w:insideH w:val="single" w:color="e2e8f0" w:sz="4"/>
          <w:insideV w:val="nil"/>
        </w:tblBorders>
      </w:tblPr>
      <w:tblGrid>
        <w:gridCol w:w="1600"/>
        <w:gridCol w:w="2200"/>
        <w:gridCol w:w="2400"/>
        <w:gridCol w:w="2200"/>
        <w:gridCol w:w="1600"/>
      </w:tblGrid>
      <w:tr>
        <w:trPr>
          <w:tblHeader/>
        </w:trPr>
        <w:tc>
          <w:tcPr>
            <w:tcW w:w="1600" w:type="dxa"/>
            <w:shd w:val="clear" w:fill="f1f5f9"/>
          </w:tcPr>
          <w:p>
            <w:pPr>
              <w:spacing w:before="60" w:after="60"/>
              <w:jc w:val="left"/>
            </w:pPr>
            <w:r>
              <w:rPr>
                <w:b/>
                <w:color w:val="0f172a"/>
                <w:sz w:val="20"/>
              </w:rPr>
              <w:t>Phase</w:t>
            </w:r>
          </w:p>
        </w:tc>
        <w:tc>
          <w:tcPr>
            <w:tcW w:w="2200" w:type="dxa"/>
            <w:shd w:val="clear" w:fill="f1f5f9"/>
          </w:tcPr>
          <w:p>
            <w:pPr>
              <w:spacing w:before="60" w:after="60"/>
              <w:jc w:val="left"/>
            </w:pPr>
            <w:r>
              <w:rPr>
                <w:b/>
                <w:color w:val="0f172a"/>
                <w:sz w:val="20"/>
              </w:rPr>
              <w:t>Objective</w:t>
            </w:r>
          </w:p>
        </w:tc>
        <w:tc>
          <w:tcPr>
            <w:tcW w:w="2400" w:type="dxa"/>
            <w:shd w:val="clear" w:fill="f1f5f9"/>
          </w:tcPr>
          <w:p>
            <w:pPr>
              <w:spacing w:before="60" w:after="60"/>
              <w:jc w:val="left"/>
            </w:pPr>
            <w:r>
              <w:rPr>
                <w:b/>
                <w:color w:val="0f172a"/>
                <w:sz w:val="20"/>
              </w:rPr>
              <w:t>Key Activities</w:t>
            </w:r>
          </w:p>
        </w:tc>
        <w:tc>
          <w:tcPr>
            <w:tcW w:w="2200" w:type="dxa"/>
            <w:shd w:val="clear" w:fill="f1f5f9"/>
          </w:tcPr>
          <w:p>
            <w:pPr>
              <w:spacing w:before="60" w:after="60"/>
              <w:jc w:val="left"/>
            </w:pPr>
            <w:r>
              <w:rPr>
                <w:b/>
                <w:color w:val="0f172a"/>
                <w:sz w:val="20"/>
              </w:rPr>
              <w:t>Deliverables</w:t>
            </w:r>
          </w:p>
        </w:tc>
        <w:tc>
          <w:tcPr>
            <w:tcW w:w="1600" w:type="dxa"/>
            <w:shd w:val="clear" w:fill="f1f5f9"/>
          </w:tcPr>
          <w:p>
            <w:pPr>
              <w:spacing w:before="60" w:after="60"/>
              <w:jc w:val="left"/>
            </w:pPr>
            <w:r>
              <w:rPr>
                <w:b/>
                <w:color w:val="0f172a"/>
                <w:sz w:val="20"/>
              </w:rPr>
              <w:t>Timeline</w:t>
            </w:r>
          </w:p>
        </w:tc>
      </w:tr>
      <w:tr>
        <w:tc>
          <w:tcPr>
            <w:tcW w:w="1600" w:type="dxa"/>
          </w:tcPr>
          <w:p>
            <w:pPr>
              <w:spacing w:before="40" w:after="40"/>
              <w:jc w:val="left"/>
            </w:pPr>
            <w:r>
              <w:rPr>
                <w:color w:val="334155"/>
                <w:sz w:val="20"/>
              </w:rPr>
              <w:t>1. Workflow Diagnosis</w:t>
            </w:r>
          </w:p>
        </w:tc>
        <w:tc>
          <w:tcPr>
            <w:tcW w:w="2200" w:type="dxa"/>
          </w:tcPr>
          <w:p>
            <w:pPr>
              <w:spacing w:before="40" w:after="40"/>
              <w:jc w:val="left"/>
            </w:pPr>
            <w:r>
              <w:rPr>
                <w:color w:val="334155"/>
                <w:sz w:val="20"/>
              </w:rPr>
              <w:t>Establish current review burden and economics</w:t>
            </w:r>
          </w:p>
        </w:tc>
        <w:tc>
          <w:tcPr>
            <w:tcW w:w="2400" w:type="dxa"/>
          </w:tcPr>
          <w:p>
            <w:pPr>
              <w:spacing w:before="40" w:after="40"/>
              <w:jc w:val="left"/>
            </w:pPr>
            <w:r>
              <w:rPr>
                <w:color w:val="334155"/>
                <w:sz w:val="20"/>
              </w:rPr>
              <w:t>Map document types, review steps, staffing, time, cost, and output quality</w:t>
            </w:r>
          </w:p>
        </w:tc>
        <w:tc>
          <w:tcPr>
            <w:tcW w:w="2200" w:type="dxa"/>
          </w:tcPr>
          <w:p>
            <w:pPr>
              <w:spacing w:before="40" w:after="40"/>
              <w:jc w:val="left"/>
            </w:pPr>
            <w:r>
              <w:rPr>
                <w:color w:val="334155"/>
                <w:sz w:val="20"/>
              </w:rPr>
              <w:t>Current-state analysis</w:t>
            </w:r>
          </w:p>
        </w:tc>
        <w:tc>
          <w:tcPr>
            <w:tcW w:w="1600" w:type="dxa"/>
          </w:tcPr>
          <w:p>
            <w:pPr>
              <w:spacing w:before="40" w:after="40"/>
              <w:jc w:val="left"/>
            </w:pPr>
            <w:r>
              <w:rPr>
                <w:color w:val="334155"/>
                <w:sz w:val="20"/>
              </w:rPr>
              <w:t>1-2 weeks</w:t>
            </w:r>
          </w:p>
        </w:tc>
      </w:tr>
      <w:tr>
        <w:tc>
          <w:tcPr>
            <w:tcW w:w="1600" w:type="dxa"/>
          </w:tcPr>
          <w:p>
            <w:pPr>
              <w:spacing w:before="40" w:after="40"/>
              <w:jc w:val="left"/>
            </w:pPr>
            <w:r>
              <w:rPr>
                <w:color w:val="334155"/>
                <w:sz w:val="20"/>
              </w:rPr>
              <w:t>2. Taxonomy and Controls</w:t>
            </w:r>
          </w:p>
        </w:tc>
        <w:tc>
          <w:tcPr>
            <w:tcW w:w="2200" w:type="dxa"/>
          </w:tcPr>
          <w:p>
            <w:pPr>
              <w:spacing w:before="40" w:after="40"/>
              <w:jc w:val="left"/>
            </w:pPr>
            <w:r>
              <w:rPr>
                <w:color w:val="334155"/>
                <w:sz w:val="20"/>
              </w:rPr>
              <w:t>Define AI-assisted review structure</w:t>
            </w:r>
          </w:p>
        </w:tc>
        <w:tc>
          <w:tcPr>
            <w:tcW w:w="2400" w:type="dxa"/>
          </w:tcPr>
          <w:p>
            <w:pPr>
              <w:spacing w:before="40" w:after="40"/>
              <w:jc w:val="left"/>
            </w:pPr>
            <w:r>
              <w:rPr>
                <w:color w:val="334155"/>
                <w:sz w:val="20"/>
              </w:rPr>
              <w:t>Build clause taxonomy, extraction fields, risk labels, confidence thresholds, and review rules</w:t>
            </w:r>
          </w:p>
        </w:tc>
        <w:tc>
          <w:tcPr>
            <w:tcW w:w="2200" w:type="dxa"/>
          </w:tcPr>
          <w:p>
            <w:pPr>
              <w:spacing w:before="40" w:after="40"/>
              <w:jc w:val="left"/>
            </w:pPr>
            <w:r>
              <w:rPr>
                <w:color w:val="334155"/>
                <w:sz w:val="20"/>
              </w:rPr>
              <w:t>Review framework and governance matrix</w:t>
            </w:r>
          </w:p>
        </w:tc>
        <w:tc>
          <w:tcPr>
            <w:tcW w:w="1600" w:type="dxa"/>
          </w:tcPr>
          <w:p>
            <w:pPr>
              <w:spacing w:before="40" w:after="40"/>
              <w:jc w:val="left"/>
            </w:pPr>
            <w:r>
              <w:rPr>
                <w:color w:val="334155"/>
                <w:sz w:val="20"/>
              </w:rPr>
              <w:t>2 weeks</w:t>
            </w:r>
          </w:p>
        </w:tc>
      </w:tr>
      <w:tr>
        <w:tc>
          <w:tcPr>
            <w:tcW w:w="1600" w:type="dxa"/>
          </w:tcPr>
          <w:p>
            <w:pPr>
              <w:spacing w:before="40" w:after="40"/>
              <w:jc w:val="left"/>
            </w:pPr>
            <w:r>
              <w:rPr>
                <w:color w:val="334155"/>
                <w:sz w:val="20"/>
              </w:rPr>
              <w:t>3. Prototype Workflow</w:t>
            </w:r>
          </w:p>
        </w:tc>
        <w:tc>
          <w:tcPr>
            <w:tcW w:w="2200" w:type="dxa"/>
          </w:tcPr>
          <w:p>
            <w:pPr>
              <w:spacing w:before="40" w:after="40"/>
              <w:jc w:val="left"/>
            </w:pPr>
            <w:r>
              <w:rPr>
                <w:color w:val="334155"/>
                <w:sz w:val="20"/>
              </w:rPr>
              <w:t>Test AI support on representative contracts</w:t>
            </w:r>
          </w:p>
        </w:tc>
        <w:tc>
          <w:tcPr>
            <w:tcW w:w="2400" w:type="dxa"/>
          </w:tcPr>
          <w:p>
            <w:pPr>
              <w:spacing w:before="40" w:after="40"/>
              <w:jc w:val="left"/>
            </w:pPr>
            <w:r>
              <w:rPr>
                <w:color w:val="334155"/>
                <w:sz w:val="20"/>
              </w:rPr>
              <w:t>Run classification, extraction, flagging, verification, and summary drafting</w:t>
            </w:r>
          </w:p>
        </w:tc>
        <w:tc>
          <w:tcPr>
            <w:tcW w:w="2200" w:type="dxa"/>
          </w:tcPr>
          <w:p>
            <w:pPr>
              <w:spacing w:before="40" w:after="40"/>
              <w:jc w:val="left"/>
            </w:pPr>
            <w:r>
              <w:rPr>
                <w:color w:val="334155"/>
                <w:sz w:val="20"/>
              </w:rPr>
              <w:t>Prototype and validation findings</w:t>
            </w:r>
          </w:p>
        </w:tc>
        <w:tc>
          <w:tcPr>
            <w:tcW w:w="1600" w:type="dxa"/>
          </w:tcPr>
          <w:p>
            <w:pPr>
              <w:spacing w:before="40" w:after="40"/>
              <w:jc w:val="left"/>
            </w:pPr>
            <w:r>
              <w:rPr>
                <w:color w:val="334155"/>
                <w:sz w:val="20"/>
              </w:rPr>
              <w:t>2-3 weeks</w:t>
            </w:r>
          </w:p>
        </w:tc>
      </w:tr>
      <w:tr>
        <w:tc>
          <w:tcPr>
            <w:tcW w:w="1600" w:type="dxa"/>
          </w:tcPr>
          <w:p>
            <w:pPr>
              <w:spacing w:before="40" w:after="40"/>
              <w:jc w:val="left"/>
            </w:pPr>
            <w:r>
              <w:rPr>
                <w:color w:val="334155"/>
                <w:sz w:val="20"/>
              </w:rPr>
              <w:t>4. Pilot Engagement</w:t>
            </w:r>
          </w:p>
        </w:tc>
        <w:tc>
          <w:tcPr>
            <w:tcW w:w="2200" w:type="dxa"/>
          </w:tcPr>
          <w:p>
            <w:pPr>
              <w:spacing w:before="40" w:after="40"/>
              <w:jc w:val="left"/>
            </w:pPr>
            <w:r>
              <w:rPr>
                <w:color w:val="334155"/>
                <w:sz w:val="20"/>
              </w:rPr>
              <w:t>Deploy on controlled matter or document set</w:t>
            </w:r>
          </w:p>
        </w:tc>
        <w:tc>
          <w:tcPr>
            <w:tcW w:w="2400" w:type="dxa"/>
          </w:tcPr>
          <w:p>
            <w:pPr>
              <w:spacing w:before="40" w:after="40"/>
              <w:jc w:val="left"/>
            </w:pPr>
            <w:r>
              <w:rPr>
                <w:color w:val="334155"/>
                <w:sz w:val="20"/>
              </w:rPr>
              <w:t>Train reviewers, track corrections, measure time savings, refine controls</w:t>
            </w:r>
          </w:p>
        </w:tc>
        <w:tc>
          <w:tcPr>
            <w:tcW w:w="2200" w:type="dxa"/>
          </w:tcPr>
          <w:p>
            <w:pPr>
              <w:spacing w:before="40" w:after="40"/>
              <w:jc w:val="left"/>
            </w:pPr>
            <w:r>
              <w:rPr>
                <w:color w:val="334155"/>
                <w:sz w:val="20"/>
              </w:rPr>
              <w:t>Pilot report and dashboard</w:t>
            </w:r>
          </w:p>
        </w:tc>
        <w:tc>
          <w:tcPr>
            <w:tcW w:w="1600" w:type="dxa"/>
          </w:tcPr>
          <w:p>
            <w:pPr>
              <w:spacing w:before="40" w:after="40"/>
              <w:jc w:val="left"/>
            </w:pPr>
            <w:r>
              <w:rPr>
                <w:color w:val="334155"/>
                <w:sz w:val="20"/>
              </w:rPr>
              <w:t>4 weeks</w:t>
            </w:r>
          </w:p>
        </w:tc>
      </w:tr>
      <w:tr>
        <w:tc>
          <w:tcPr>
            <w:tcW w:w="1600" w:type="dxa"/>
          </w:tcPr>
          <w:p>
            <w:pPr>
              <w:spacing w:before="40" w:after="40"/>
              <w:jc w:val="left"/>
            </w:pPr>
            <w:r>
              <w:rPr>
                <w:color w:val="334155"/>
                <w:sz w:val="20"/>
              </w:rPr>
              <w:t>5. Scale Operating Model</w:t>
            </w:r>
          </w:p>
        </w:tc>
        <w:tc>
          <w:tcPr>
            <w:tcW w:w="2200" w:type="dxa"/>
          </w:tcPr>
          <w:p>
            <w:pPr>
              <w:spacing w:before="40" w:after="40"/>
              <w:jc w:val="left"/>
            </w:pPr>
            <w:r>
              <w:rPr>
                <w:color w:val="334155"/>
                <w:sz w:val="20"/>
              </w:rPr>
              <w:t>Standardize for repeat matters</w:t>
            </w:r>
          </w:p>
        </w:tc>
        <w:tc>
          <w:tcPr>
            <w:tcW w:w="2400" w:type="dxa"/>
          </w:tcPr>
          <w:p>
            <w:pPr>
              <w:spacing w:before="40" w:after="40"/>
              <w:jc w:val="left"/>
            </w:pPr>
            <w:r>
              <w:rPr>
                <w:color w:val="334155"/>
                <w:sz w:val="20"/>
              </w:rPr>
              <w:t>Build playbook, QA cadence, partner reporting, and client communication templates</w:t>
            </w:r>
          </w:p>
        </w:tc>
        <w:tc>
          <w:tcPr>
            <w:tcW w:w="2200" w:type="dxa"/>
          </w:tcPr>
          <w:p>
            <w:pPr>
              <w:spacing w:before="40" w:after="40"/>
              <w:jc w:val="left"/>
            </w:pPr>
            <w:r>
              <w:rPr>
                <w:color w:val="334155"/>
                <w:sz w:val="20"/>
              </w:rPr>
              <w:t>Scalable diligence operating model</w:t>
            </w:r>
          </w:p>
        </w:tc>
        <w:tc>
          <w:tcPr>
            <w:tcW w:w="1600" w:type="dxa"/>
          </w:tcPr>
          <w:p>
            <w:pPr>
              <w:spacing w:before="40" w:after="40"/>
              <w:jc w:val="left"/>
            </w:pPr>
            <w:r>
              <w:rPr>
                <w:color w:val="334155"/>
                <w:sz w:val="20"/>
              </w:rPr>
              <w:t>4-8 weeks</w:t>
            </w:r>
          </w:p>
        </w:tc>
      </w:tr>
    </w:tbl>
    <w:p>
      <w:pPr>
        <w:spacing w:before="80" w:after="160"/>
      </w:pPr>
    </w:p>
    <w:p>
      <w:pPr>
        <w:pStyle w:val="Heading2"/>
      </w:pPr>
      <w:r>
        <w:t>Portfolio Narrative</w:t>
      </w:r>
    </w:p>
    <w:p>
      <w:r>
        <w:t>This project demonstrates how AI can be applied to professional services with economic discipline and governance maturity. The work does not promise that AI replaces lawyers. It shows how AI can restructure the operating model so lawyers spend less time on mechanical review and more time on expert judgment.</w:t>
      </w:r>
    </w:p>
    <w:p>
      <w:r>
        <w:t>The portfolio value is strong because the case connects legaltech, UX/UI clarity, service economics, risk control, and client communication. It turns a high-volume document problem into a governed workflow with measurable commercial impact.</w:t>
      </w:r>
    </w:p>
    <w:p>
      <w:pPr>
        <w:pStyle w:val="Heading2"/>
      </w:pPr>
      <w:r>
        <w:t>Final Conclusion</w:t>
      </w:r>
    </w:p>
    <w:p>
      <w:r>
        <w:t>AI-Augmented M&amp;A Due Diligence Operating Model presents a practical, credible model for legaltech transformation. It reduces review cost, improves consistency, protects expert judgment, and creates measurable margin impact. The project is client-ready because it addresses the real constraint in professional services: not whether AI can process documents, but whether it can be governed in a way that improves economics without compromising trust.</w:t>
      </w:r>
    </w:p>
    <w:p>
      <w:pPr>
        <w:sectPr>
          <w:headerReference w:type="default" r:id="Rd45f4052325f4859"/>
          <w:footerReference w:type="default" r:id="Rec1a86bf85234f2d"/>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ackBg"/>
            <wp:cNvGraphicFramePr>
              <a:graphicFrameLocks noChangeAspect="1"/>
            </wp:cNvGraphicFramePr>
            <a:graphic>
              <a:graphicData uri="http://schemas.openxmlformats.org/drawingml/2006/picture">
                <pic:pic>
                  <pic:nvPicPr>
                    <pic:cNvPr id="0" name="BackBg.png"/>
                    <pic:cNvPicPr/>
                  </pic:nvPicPr>
                  <pic:blipFill>
                    <a:blip r:embed="R8e3a7a3afd3c4553"/>
                    <a:stretch>
                      <a:fillRect/>
                    </a:stretch>
                  </pic:blipFill>
                  <pic:spPr>
                    <a:xfrm>
                      <a:off x="0" y="0"/>
                      <a:ext cx="7560000" cy="10692000"/>
                    </a:xfrm>
                    <a:prstGeom prst="rect"/>
                  </pic:spPr>
                </pic:pic>
              </a:graphicData>
            </a:graphic>
          </wp:anchor>
        </w:drawing>
      </w:r>
    </w:p>
    <w:p>
      <w:pPr>
        <w:spacing w:before="6500"/>
        <w:jc w:val="center"/>
      </w:pPr>
      <w:r>
        <w:rPr>
          <w:b/>
          <w:color w:val="f8fafc"/>
          <w:sz w:val="56"/>
        </w:rPr>
        <w:t>Strategic Portfolio</w:t>
      </w:r>
    </w:p>
    <w:p>
      <w:pPr>
        <w:spacing w:before="200"/>
        <w:jc w:val="center"/>
      </w:pPr>
      <w:r>
        <w:rPr>
          <w:color w:val="06b6d4"/>
          <w:sz w:val="28"/>
        </w:rPr>
        <w:t>AI  |  Fintech  |  LegalTech  |  Commercial Transformation</w:t>
      </w:r>
    </w:p>
    <w:p>
      <w:pPr>
        <w:spacing w:before="400"/>
        <w:jc w:val="center"/>
      </w:pPr>
      <w:r>
        <w:rPr>
          <w:color w:val="64748b"/>
          <w:sz w:val="20"/>
        </w:rPr>
        <w:t>Client-ready  |  Portfolio-ready  |  Decision-ready</w:t>
      </w:r>
    </w:p>
    <w:p>
      <w:pPr>
        <w:spacing w:before="200"/>
        <w:jc w:val="center"/>
      </w:pPr>
      <w:r>
        <w:rPr>
          <w:color w:val="64748b"/>
          <w:sz w:val="18"/>
        </w:rPr>
        <w:t>Confidential  |  2026</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64748b"/>
        <w:sz w:val="18"/>
      </w:rPr>
      <w:fldChar w:fldCharType="begin"/>
    </w:r>
    <w:r>
      <w:rPr>
        <w:color w:val="64748b"/>
        <w:sz w:val="18"/>
      </w:rPr>
      <w:instrText xml:space="preserve"> PAGE </w:instrText>
    </w:r>
    <w:r>
      <w:rPr>
        <w:color w:val="64748b"/>
        <w:sz w:val="18"/>
      </w:rPr>
      <w:fldChar w:fldCharType="separate"/>
    </w:r>
    <w:r>
      <w:rPr>
        <w:color w:val="64748b"/>
        <w:sz w:val="18"/>
      </w:rPr>
      <w:t>1</w:t>
    </w:r>
    <w:r>
      <w:rPr>
        <w:color w:val="64748b"/>
        <w:sz w:val="18"/>
      </w:rPr>
      <w:fldChar w:fldCharType="end"/>
    </w:r>
    <w:r>
      <w:rPr>
        <w:color w:val="64748b"/>
        <w:sz w:val="18"/>
      </w:rPr>
      <w:t xml:space="preserve"> / </w:t>
    </w:r>
    <w:r>
      <w:rPr>
        <w:color w:val="64748b"/>
        <w:sz w:val="18"/>
      </w:rPr>
      <w:fldChar w:fldCharType="begin"/>
    </w:r>
    <w:r>
      <w:rPr>
        <w:color w:val="64748b"/>
        <w:sz w:val="18"/>
      </w:rPr>
      <w:instrText xml:space="preserve"> NUMPAGES </w:instrText>
    </w:r>
    <w:r>
      <w:rPr>
        <w:color w:val="64748b"/>
        <w:sz w:val="18"/>
      </w:rPr>
      <w:fldChar w:fldCharType="separate"/>
    </w:r>
    <w:r>
      <w:rPr>
        <w:color w:val="64748b"/>
        <w:sz w:val="18"/>
      </w:rPr>
      <w:t>1</w:t>
    </w:r>
    <w:r>
      <w:rPr>
        <w:color w:val="64748b"/>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odyBg"/>
          <wp:cNvGraphicFramePr>
            <a:graphicFrameLocks noChangeAspect="1"/>
          </wp:cNvGraphicFramePr>
          <a:graphic>
            <a:graphicData uri="http://schemas.openxmlformats.org/drawingml/2006/picture">
              <pic:pic>
                <pic:nvPicPr>
                  <pic:cNvPr id="0" name="BodyBg.png"/>
                  <pic:cNvPicPr/>
                </pic:nvPicPr>
                <pic:blipFill>
                  <a:blip r:embed="R6c51dcd7122046d9"/>
                  <a:stretch>
                    <a:fillRect/>
                  </a:stretch>
                </pic:blipFill>
                <pic:spPr>
                  <a:xfrm>
                    <a:off x="0" y="0"/>
                    <a:ext cx="7560000" cy="10692000"/>
                  </a:xfrm>
                  <a:prstGeom prst="rect"/>
                </pic:spPr>
              </pic:pic>
            </a:graphicData>
          </a:graphic>
        </wp:anchor>
      </w:drawing>
    </w:r>
  </w:p>
  <w:p>
    <w:pPr>
      <w:jc w:val="right"/>
    </w:pPr>
    <w:r>
      <w:rPr>
        <w:color w:val="64748b"/>
        <w:sz w:val="18"/>
      </w:rPr>
      <w:t>Portfolio Source Documents | 2026</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88" w:lineRule="auto"/>
    </w:pPr>
    <w:rPr>
      <w:rFonts w:ascii="Calibri" w:hAnsi="Calibri" w:eastAsia="Microsoft YaHei"/>
      <w:color w:val="0f172a"/>
      <w:sz w:val="22"/>
    </w:rPr>
  </w:style>
  <w:style w:type="paragraph" w:styleId="Heading1">
    <w:name w:val="heading 1"/>
    <w:basedOn w:val="Normal"/>
    <w:pPr>
      <w:keepNext/>
      <w:keepLines/>
      <w:spacing w:before="480" w:after="200"/>
      <w:outlineLvl w:val="0"/>
    </w:pPr>
    <w:rPr>
      <w:rFonts w:ascii="Calibri" w:hAnsi="Calibri" w:eastAsia="Microsoft YaHei"/>
      <w:b/>
      <w:color w:val="06b6d4"/>
      <w:sz w:val="40"/>
    </w:rPr>
  </w:style>
  <w:style w:type="paragraph" w:styleId="Heading2">
    <w:name w:val="heading 2"/>
    <w:basedOn w:val="Normal"/>
    <w:pPr>
      <w:keepNext/>
      <w:keepLines/>
      <w:spacing w:before="360" w:after="120"/>
      <w:outlineLvl w:val="1"/>
    </w:pPr>
    <w:rPr>
      <w:rFonts w:ascii="Calibri" w:hAnsi="Calibri" w:eastAsia="Microsoft YaHei"/>
      <w:b/>
      <w:color w:val="0f172a"/>
      <w:sz w:val="28"/>
    </w:rPr>
  </w:style>
  <w:style w:type="paragraph" w:styleId="Heading3">
    <w:name w:val="heading 3"/>
    <w:basedOn w:val="Normal"/>
    <w:pPr>
      <w:keepNext/>
      <w:keepLines/>
      <w:spacing w:before="240" w:after="80"/>
      <w:outlineLvl w:val="2"/>
    </w:pPr>
    <w:rPr>
      <w:rFonts w:ascii="Calibri" w:hAnsi="Calibri" w:eastAsia="Microsoft YaHei"/>
      <w:b/>
      <w:color w:val="334155"/>
      <w:sz w:val="24"/>
    </w:rPr>
  </w:style>
  <w:style w:type="paragraph" w:styleId="Caption">
    <w:name w:val="Caption"/>
    <w:basedOn w:val="Normal"/>
    <w:pPr>
      <w:spacing w:before="60" w:after="240"/>
      <w:jc w:val="center"/>
    </w:pPr>
    <w:rPr>
      <w:color w:val="64748b"/>
      <w:sz w:val="20"/>
    </w:rPr>
  </w:style>
  <w:style w:type="paragraph" w:styleId="TOC1">
    <w:name w:val="toc 1"/>
    <w:basedOn w:val="Normal"/>
    <w:pPr>
      <w:tabs>
        <w:tab w:val="right" w:leader="dot" w:pos="9350"/>
      </w:tabs>
      <w:spacing w:before="200" w:after="40"/>
      <w:ind w:left="0"/>
    </w:pPr>
    <w:rPr>
      <w:b/>
      <w:color w:val="0f172a"/>
    </w:rPr>
  </w:style>
  <w:style w:type="paragraph" w:styleId="TOC2">
    <w:name w:val="toc 2"/>
    <w:basedOn w:val="Normal"/>
    <w:pPr>
      <w:tabs>
        <w:tab w:val="right" w:leader="dot" w:pos="9350"/>
      </w:tabs>
      <w:spacing w:before="60" w:after="40"/>
      <w:ind w:left="360"/>
    </w:pPr>
    <w:rPr>
      <w:color w:val="334155"/>
    </w:rPr>
  </w:style>
  <w:style w:type="paragraph" w:styleId="TOC3">
    <w:name w:val="toc 3"/>
    <w:basedOn w:val="Normal"/>
    <w:pPr>
      <w:tabs>
        <w:tab w:val="right" w:leader="dot" w:pos="9350"/>
      </w:tabs>
      <w:spacing w:before="40" w:after="40"/>
      <w:ind w:left="720"/>
    </w:pPr>
    <w:rPr>
      <w:color w:val="334155"/>
    </w:rPr>
  </w:style>
</w:styles>
</file>

<file path=word/_rels/document.xml.rels><?xml version='1.0' encoding='UTF-8'?>
<Relationships xmlns="http://schemas.openxmlformats.org/package/2006/relationships"><Relationship Type="http://schemas.openxmlformats.org/officeDocument/2006/relationships/styles" Target="styles.xml" Id="R9fb0cd621db7400c" /><Relationship Type="http://schemas.openxmlformats.org/officeDocument/2006/relationships/numbering" Target="numbering.xml" Id="R4295ec4a101f40bb" /><Relationship Type="http://schemas.openxmlformats.org/officeDocument/2006/relationships/image" Target="media/image.png" Id="Ref996c7506ee4815" /><Relationship Type="http://schemas.openxmlformats.org/officeDocument/2006/relationships/image" Target="media/image2.png" Id="R8e3a7a3afd3c4553" /><Relationship Type="http://schemas.openxmlformats.org/officeDocument/2006/relationships/header" Target="header1.xml" Id="Rd45f4052325f4859" /><Relationship Type="http://schemas.openxmlformats.org/officeDocument/2006/relationships/footer" Target="footer1.xml" Id="Rec1a86bf85234f2d" /><Relationship Type="http://schemas.openxmlformats.org/officeDocument/2006/relationships/settings" Target="settings.xml" Id="R0e31d49afc58456c" /></Relationships>
</file>

<file path=word/_rels/header1.xml.rels><?xml version='1.0' encoding='UTF-8'?>
<Relationships xmlns="http://schemas.openxmlformats.org/package/2006/relationships"><Relationship Type="http://schemas.openxmlformats.org/officeDocument/2006/relationships/image" Target="media/image3.png" Id="R6c51dcd7122046d9" /></Relationships>
</file>