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20" w:hRule="exact"/>
        </w:trPr>
        <w:tc>
          <w:tcPr>
            <w:tcW w:type="dxa" w:w="12240"/>
            <w:tcBorders>
              <w:top w:val="none" w:color="FFFFFF" w:sz="0"/>
              <w:left w:val="none" w:color="FFFFFF" w:sz="0"/>
              <w:bottom w:val="none" w:color="FFFFFF" w:sz="0"/>
              <w:right w:val="none" w:color="FFFFFF" w:sz="0"/>
            </w:tcBorders>
            <w:shd w:fill="C9943E" w:val="clear"/>
          </w:tcPr>
          <w:p/>
        </w:tc>
      </w:tr>
    </w:tbl>
    <w:p>
      <w:pPr>
        <w:spacing w:before="2400" w:after="0"/>
      </w:pPr>
    </w:p>
    <w:p>
      <w:pPr>
        <w:spacing w:after="200"/>
        <w:jc w:val="center"/>
      </w:pPr>
      <w:r>
        <w:rPr>
          <w:rFonts w:ascii="Calibri" w:cs="Calibri" w:eastAsia="Calibri" w:hAnsi="Calibri"/>
          <w:b/>
          <w:bCs/>
          <w:color w:val="C9943E"/>
          <w:spacing w:val="200"/>
          <w:sz w:val="18"/>
          <w:szCs w:val="18"/>
        </w:rPr>
        <w:t xml:space="preserve">PORTFOLIO | STRATEGIC ADVISORY</w:t>
      </w:r>
    </w:p>
    <w:p>
      <w:pPr>
        <w:spacing w:after="80"/>
        <w:ind w:left="1440" w:right="1440"/>
        <w:jc w:val="center"/>
      </w:pPr>
      <w:r>
        <w:rPr>
          <w:rFonts w:ascii="Calibri Light" w:cs="Calibri Light" w:eastAsia="Calibri Light" w:hAnsi="Calibri Light"/>
          <w:color w:val="0D4F4F"/>
          <w:spacing w:val="80"/>
          <w:sz w:val="72"/>
          <w:szCs w:val="72"/>
        </w:rPr>
        <w:t xml:space="preserve">THE VALUE</w:t>
      </w:r>
    </w:p>
    <w:p>
      <w:pPr>
        <w:spacing w:after="200"/>
        <w:ind w:left="1440" w:right="1440"/>
        <w:jc w:val="center"/>
      </w:pPr>
      <w:r>
        <w:rPr>
          <w:rFonts w:ascii="Calibri Light" w:cs="Calibri Light" w:eastAsia="Calibri Light" w:hAnsi="Calibri Light"/>
          <w:color w:val="0D4F4F"/>
          <w:spacing w:val="80"/>
          <w:sz w:val="72"/>
          <w:szCs w:val="72"/>
        </w:rPr>
        <w:t xml:space="preserve">ARCHITECTURE</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4620"/>
        <w:gridCol w:w="3000"/>
        <w:gridCol w:w="4620"/>
      </w:tblGrid>
      <w:tr>
        <w:trPr>
          <w:trHeight w:val="60" w:hRule="exact"/>
        </w:trPr>
        <w:tc>
          <w:tcPr>
            <w:tcW w:type="dxa" w:w="4620"/>
            <w:tcBorders>
              <w:top w:val="none" w:color="FFFFFF" w:sz="0"/>
              <w:left w:val="none" w:color="FFFFFF" w:sz="0"/>
              <w:bottom w:val="none" w:color="FFFFFF" w:sz="0"/>
              <w:right w:val="none" w:color="FFFFFF" w:sz="0"/>
            </w:tcBorders>
          </w:tcPr>
          <w:p/>
        </w:tc>
        <w:tc>
          <w:tcPr>
            <w:tcW w:type="dxa" w:w="3000"/>
            <w:tcBorders>
              <w:top w:val="none" w:color="FFFFFF" w:sz="0"/>
              <w:left w:val="none" w:color="FFFFFF" w:sz="0"/>
              <w:bottom w:val="single" w:color="C9943E" w:sz="4"/>
              <w:right w:val="none" w:color="FFFFFF" w:sz="0"/>
            </w:tcBorders>
          </w:tcPr>
          <w:p/>
        </w:tc>
        <w:tc>
          <w:tcPr>
            <w:tcW w:type="dxa" w:w="4620"/>
            <w:tcBorders>
              <w:top w:val="none" w:color="FFFFFF" w:sz="0"/>
              <w:left w:val="none" w:color="FFFFFF" w:sz="0"/>
              <w:bottom w:val="none" w:color="FFFFFF" w:sz="0"/>
              <w:right w:val="none" w:color="FFFFFF" w:sz="0"/>
            </w:tcBorders>
          </w:tcPr>
          <w:p/>
        </w:tc>
      </w:tr>
    </w:tbl>
    <w:p>
      <w:pPr>
        <w:spacing w:before="200" w:after="0"/>
      </w:pPr>
    </w:p>
    <w:p>
      <w:pPr>
        <w:spacing w:after="100"/>
        <w:ind w:left="2160" w:right="2160"/>
        <w:jc w:val="center"/>
      </w:pPr>
      <w:r>
        <w:rPr>
          <w:rFonts w:ascii="Calibri Light" w:cs="Calibri Light" w:eastAsia="Calibri Light" w:hAnsi="Calibri Light"/>
          <w:i/>
          <w:iCs/>
          <w:color w:val="5A5A72"/>
          <w:sz w:val="24"/>
          <w:szCs w:val="24"/>
        </w:rPr>
        <w:t xml:space="preserve">Transitioning Mid-Market Hospitality to Premium Positioning</w:t>
      </w:r>
    </w:p>
    <w:p>
      <w:pPr>
        <w:spacing w:after="60"/>
        <w:jc w:val="center"/>
      </w:pPr>
      <w:r>
        <w:rPr>
          <w:rFonts w:ascii="Calibri" w:cs="Calibri" w:eastAsia="Calibri" w:hAnsi="Calibri"/>
          <w:color w:val="5A5A72"/>
          <w:sz w:val="18"/>
          <w:szCs w:val="18"/>
        </w:rPr>
        <w:t xml:space="preserve">Boutique Hospitality | Latin America | Secondary Markets</w:t>
      </w:r>
    </w:p>
    <w:p>
      <w:pPr>
        <w:spacing w:before="2800" w:after="0"/>
      </w:pP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4F4F" w:val="clear"/>
            <w:tcMar>
              <w:top w:type="dxa" w:w="200"/>
              <w:left w:type="dxa" w:w="1440"/>
              <w:bottom w:type="dxa" w:w="200"/>
              <w:right w:type="dxa" w:w="1440"/>
            </w:tcMar>
          </w:tcPr>
          <w:p>
            <w:pPr>
              <w:jc w:val="left"/>
            </w:pPr>
            <w:r>
              <w:rPr>
                <w:rFonts w:ascii="Calibri" w:cs="Calibri" w:eastAsia="Calibri" w:hAnsi="Calibri"/>
                <w:b/>
                <w:bCs/>
                <w:color w:val="C9943E"/>
                <w:spacing w:val="100"/>
                <w:sz w:val="16"/>
                <w:szCs w:val="16"/>
              </w:rPr>
              <w:t xml:space="preserve">STRATEGIC WHITE PAPER</w:t>
            </w:r>
          </w:p>
          <w:p>
            <w:pPr>
              <w:spacing w:before="60"/>
              <w:jc w:val="left"/>
            </w:pPr>
            <w:r>
              <w:rPr>
                <w:rFonts w:ascii="Calibri Light" w:cs="Calibri Light" w:eastAsia="Calibri Light" w:hAnsi="Calibri Light"/>
                <w:color w:val="B0C4C4"/>
                <w:sz w:val="18"/>
                <w:szCs w:val="18"/>
              </w:rPr>
              <w:t xml:space="preserve">Prepared for Senior Leadership &amp; Ownership Groups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80" w:hRule="exact"/>
        </w:trPr>
        <w:tc>
          <w:tcPr>
            <w:tcW w:type="dxa" w:w="12240"/>
            <w:tcBorders>
              <w:top w:val="none" w:color="FFFFFF" w:sz="0"/>
              <w:left w:val="none" w:color="FFFFFF" w:sz="0"/>
              <w:bottom w:val="none" w:color="FFFFFF" w:sz="0"/>
              <w:right w:val="none" w:color="FFFFFF" w:sz="0"/>
            </w:tcBorders>
            <w:shd w:fill="C9943E" w:val="clear"/>
          </w:tcPr>
          <w:p/>
        </w:tc>
      </w:tr>
    </w:tbl>
    <w:p>
      <w:pPr>
        <w:sectPr>
          <w:pgSz w:w="12240" w:h="15840" w:orient="portrait"/>
          <w:pgMar w:top="0" w:right="0" w:bottom="0" w:left="0" w:header="708" w:footer="708" w:gutter="0"/>
          <w:pgNumType/>
          <w:docGrid w:linePitch="360"/>
        </w:sectPr>
      </w:pPr>
    </w:p>
    <w:p>
      <w:pPr>
        <w:spacing w:before="360" w:after="200"/>
      </w:pPr>
      <w:r>
        <w:rPr>
          <w:rFonts w:ascii="Calibri Light" w:cs="Calibri Light" w:eastAsia="Calibri Light" w:hAnsi="Calibri Light"/>
          <w:b/>
          <w:bCs/>
          <w:color w:val="0D4F4F"/>
          <w:spacing w:val="120"/>
          <w:sz w:val="36"/>
          <w:szCs w:val="3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9943E" w:val="clear"/>
          </w:tcPr>
          <w:p/>
        </w:tc>
        <w:tc>
          <w:tcPr>
            <w:tcW w:type="dxa" w:w="9060"/>
            <w:tcBorders>
              <w:top w:val="none" w:color="FFFFFF" w:sz="0"/>
              <w:left w:val="none" w:color="FFFFFF" w:sz="0"/>
              <w:bottom w:val="none" w:color="FFFFFF" w:sz="0"/>
              <w:right w:val="none" w:color="FFFFFF" w:sz="0"/>
            </w:tcBorders>
            <w:shd w:fill="F5E6C8" w:val="clear"/>
            <w:tcMar>
              <w:top w:type="dxa" w:w="160"/>
              <w:left w:type="dxa" w:w="240"/>
              <w:bottom w:type="dxa" w:w="160"/>
              <w:right w:type="dxa" w:w="240"/>
            </w:tcMar>
          </w:tcPr>
          <w:p>
            <w:pPr>
              <w:spacing w:before="0" w:after="0"/>
            </w:pPr>
            <w:r>
              <w:rPr>
                <w:rFonts w:ascii="Calibri Light" w:cs="Calibri Light" w:eastAsia="Calibri Light" w:hAnsi="Calibri Light"/>
                <w:i/>
                <w:iCs/>
                <w:color w:val="0D4F4F"/>
                <w:sz w:val="22"/>
                <w:szCs w:val="22"/>
              </w:rPr>
              <w:t xml:space="preserve">Luxury is not a price point. It is a decision architecture that makes price irrelevant.</w:t>
            </w:r>
          </w:p>
        </w:tc>
      </w:tr>
    </w:tbl>
    <w:p>
      <w:pPr>
        <w:spacing w:before="100" w:after="0"/>
      </w:pPr>
    </w:p>
    <w:p>
      <w:pPr>
        <w:spacing w:before="60" w:after="100" w:line="300"/>
        <w:jc w:val="both"/>
      </w:pPr>
      <w:r>
        <w:rPr>
          <w:rFonts w:ascii="Calibri" w:cs="Calibri" w:eastAsia="Calibri" w:hAnsi="Calibri"/>
          <w:b w:val="false"/>
          <w:bCs w:val="false"/>
          <w:i w:val="false"/>
          <w:iCs w:val="false"/>
          <w:color w:val="2D2D3F"/>
          <w:sz w:val="21"/>
          <w:szCs w:val="21"/>
        </w:rPr>
        <w:t xml:space="preserve">The boutique hospitality segment across secondary cities in Colombia and Latin America is caught in a Margin Erosion Spiral: properties compete on price, erode their own margins, reinvest less in differentiation, and consequently become more dependent on price as their sole competitive lever.</w:t>
      </w:r>
    </w:p>
    <w:p>
      <w:pPr>
        <w:spacing w:before="60" w:after="100" w:line="300"/>
        <w:jc w:val="both"/>
      </w:pPr>
      <w:r>
        <w:rPr>
          <w:rFonts w:ascii="Calibri" w:cs="Calibri" w:eastAsia="Calibri" w:hAnsi="Calibri"/>
          <w:b w:val="false"/>
          <w:bCs w:val="false"/>
          <w:i w:val="false"/>
          <w:iCs w:val="false"/>
          <w:color w:val="2D2D3F"/>
          <w:sz w:val="21"/>
          <w:szCs w:val="21"/>
        </w:rPr>
        <w:t xml:space="preserve">This white paper presents The Value Architecture™ — a four-pillar strategic model that transitions a property from selling rooms to curating meaning, from competing on price to commanding premium, and from chasing occupancy to engineering margin.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120"/>
              <w:left w:type="dxa" w:w="100"/>
              <w:bottom w:type="dxa" w:w="120"/>
              <w:right w:type="dxa" w:w="100"/>
            </w:tcMar>
          </w:tcPr>
          <w:p>
            <w:pPr>
              <w:spacing w:after="40"/>
              <w:jc w:val="center"/>
            </w:pPr>
            <w:r>
              <w:rPr>
                <w:rFonts w:ascii="Calibri Light" w:cs="Calibri Light" w:eastAsia="Calibri Light" w:hAnsi="Calibri Light"/>
                <w:b/>
                <w:bCs/>
                <w:color w:val="C9943E"/>
                <w:sz w:val="48"/>
                <w:szCs w:val="48"/>
              </w:rPr>
              <w:t xml:space="preserve">+31pp</w:t>
            </w:r>
          </w:p>
          <w:p>
            <w:pPr>
              <w:spacing w:after="20"/>
              <w:jc w:val="center"/>
            </w:pPr>
            <w:r>
              <w:rPr>
                <w:rFonts w:ascii="Calibri" w:cs="Calibri" w:eastAsia="Calibri" w:hAnsi="Calibri"/>
                <w:b/>
                <w:bCs/>
                <w:color w:val="0D4F4F"/>
                <w:spacing w:val="40"/>
                <w:sz w:val="18"/>
                <w:szCs w:val="18"/>
              </w:rPr>
              <w:t xml:space="preserve">EBITDA MARGIN LIFT</w:t>
            </w:r>
          </w:p>
          <w:p>
            <w:pPr>
              <w:jc w:val="center"/>
            </w:pPr>
            <w:r>
              <w:rPr>
                <w:rFonts w:ascii="Calibri" w:cs="Calibri" w:eastAsia="Calibri" w:hAnsi="Calibri"/>
                <w:i/>
                <w:iCs/>
                <w:color w:val="5A5A72"/>
                <w:sz w:val="16"/>
                <w:szCs w:val="16"/>
              </w:rPr>
              <w:t xml:space="preserve">From 21.5% to 52.7%</w:t>
            </w:r>
          </w:p>
        </w:tc>
        <w:tc>
          <w:tcPr>
            <w:tcW w:type="dxa" w:w="3120"/>
            <w:tcBorders>
              <w:top w:val="none" w:color="FFFFFF" w:sz="0"/>
              <w:left w:val="none" w:color="FFFFFF" w:sz="0"/>
              <w:bottom w:val="none" w:color="FFFFFF" w:sz="0"/>
              <w:right w:val="none" w:color="FFFFFF" w:sz="0"/>
            </w:tcBorders>
            <w:tcMar>
              <w:top w:type="dxa" w:w="120"/>
              <w:left w:type="dxa" w:w="100"/>
              <w:bottom w:type="dxa" w:w="120"/>
              <w:right w:type="dxa" w:w="100"/>
            </w:tcMar>
          </w:tcPr>
          <w:p>
            <w:pPr>
              <w:spacing w:after="40"/>
              <w:jc w:val="center"/>
            </w:pPr>
            <w:r>
              <w:rPr>
                <w:rFonts w:ascii="Calibri Light" w:cs="Calibri Light" w:eastAsia="Calibri Light" w:hAnsi="Calibri Light"/>
                <w:b/>
                <w:bCs/>
                <w:color w:val="C9943E"/>
                <w:sz w:val="48"/>
                <w:szCs w:val="48"/>
              </w:rPr>
              <w:t xml:space="preserve">+83%</w:t>
            </w:r>
          </w:p>
          <w:p>
            <w:pPr>
              <w:spacing w:after="20"/>
              <w:jc w:val="center"/>
            </w:pPr>
            <w:r>
              <w:rPr>
                <w:rFonts w:ascii="Calibri" w:cs="Calibri" w:eastAsia="Calibri" w:hAnsi="Calibri"/>
                <w:b/>
                <w:bCs/>
                <w:color w:val="0D4F4F"/>
                <w:spacing w:val="40"/>
                <w:sz w:val="18"/>
                <w:szCs w:val="18"/>
              </w:rPr>
              <w:t xml:space="preserve">ADR INCREASE</w:t>
            </w:r>
          </w:p>
          <w:p>
            <w:pPr>
              <w:jc w:val="center"/>
            </w:pPr>
            <w:r>
              <w:rPr>
                <w:rFonts w:ascii="Calibri" w:cs="Calibri" w:eastAsia="Calibri" w:hAnsi="Calibri"/>
                <w:i/>
                <w:iCs/>
                <w:color w:val="5A5A72"/>
                <w:sz w:val="16"/>
                <w:szCs w:val="16"/>
              </w:rPr>
              <w:t xml:space="preserve">$105 → $192 USD</w:t>
            </w:r>
          </w:p>
        </w:tc>
        <w:tc>
          <w:tcPr>
            <w:tcW w:type="dxa" w:w="3120"/>
            <w:tcBorders>
              <w:top w:val="none" w:color="FFFFFF" w:sz="0"/>
              <w:left w:val="none" w:color="FFFFFF" w:sz="0"/>
              <w:bottom w:val="none" w:color="FFFFFF" w:sz="0"/>
              <w:right w:val="none" w:color="FFFFFF" w:sz="0"/>
            </w:tcBorders>
            <w:tcMar>
              <w:top w:type="dxa" w:w="120"/>
              <w:left w:type="dxa" w:w="100"/>
              <w:bottom w:type="dxa" w:w="120"/>
              <w:right w:type="dxa" w:w="100"/>
            </w:tcMar>
          </w:tcPr>
          <w:p>
            <w:pPr>
              <w:spacing w:after="40"/>
              <w:jc w:val="center"/>
            </w:pPr>
            <w:r>
              <w:rPr>
                <w:rFonts w:ascii="Calibri Light" w:cs="Calibri Light" w:eastAsia="Calibri Light" w:hAnsi="Calibri Light"/>
                <w:b/>
                <w:bCs/>
                <w:color w:val="C9943E"/>
                <w:sz w:val="48"/>
                <w:szCs w:val="48"/>
              </w:rPr>
              <w:t xml:space="preserve">-43pp</w:t>
            </w:r>
          </w:p>
          <w:p>
            <w:pPr>
              <w:spacing w:after="20"/>
              <w:jc w:val="center"/>
            </w:pPr>
            <w:r>
              <w:rPr>
                <w:rFonts w:ascii="Calibri" w:cs="Calibri" w:eastAsia="Calibri" w:hAnsi="Calibri"/>
                <w:b/>
                <w:bCs/>
                <w:color w:val="0D4F4F"/>
                <w:spacing w:val="40"/>
                <w:sz w:val="18"/>
                <w:szCs w:val="18"/>
              </w:rPr>
              <w:t xml:space="preserve">OTA LIBERATION</w:t>
            </w:r>
          </w:p>
          <w:p>
            <w:pPr>
              <w:jc w:val="center"/>
            </w:pPr>
            <w:r>
              <w:rPr>
                <w:rFonts w:ascii="Calibri" w:cs="Calibri" w:eastAsia="Calibri" w:hAnsi="Calibri"/>
                <w:i/>
                <w:iCs/>
                <w:color w:val="5A5A72"/>
                <w:sz w:val="16"/>
                <w:szCs w:val="16"/>
              </w:rPr>
              <w:t xml:space="preserve">65% → 22% dependency</w:t>
            </w:r>
          </w:p>
        </w:tc>
      </w:tr>
    </w:tbl>
    <w:p>
      <w:pPr>
        <w:spacing w:before="200" w:after="0"/>
      </w:pPr>
    </w:p>
    <w:p>
      <w:pPr>
        <w:spacing w:before="240" w:after="140"/>
      </w:pPr>
      <w:r>
        <w:rPr>
          <w:rFonts w:ascii="Calibri Light" w:cs="Calibri Light" w:eastAsia="Calibri Light" w:hAnsi="Calibri Light"/>
          <w:b/>
          <w:bCs/>
          <w:color w:val="0D4F4F"/>
          <w:spacing w:val="60"/>
          <w:sz w:val="28"/>
          <w:szCs w:val="28"/>
        </w:rPr>
        <w:t xml:space="preserve">THE PREMIUM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METRIC</w:t>
            </w:r>
          </w:p>
        </w:tc>
        <w:tc>
          <w:tcPr>
            <w:tcW w:type="dxa" w:w="312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MID-MARKET</w:t>
            </w:r>
          </w:p>
        </w:tc>
        <w:tc>
          <w:tcPr>
            <w:tcW w:type="dxa" w:w="312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PREMIUM</w:t>
            </w:r>
          </w:p>
        </w:tc>
      </w:tr>
      <w:tr>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ADR</w:t>
            </w:r>
          </w:p>
        </w:tc>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$78–$125</w:t>
            </w:r>
          </w:p>
        </w:tc>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$195–$420</w:t>
            </w:r>
          </w:p>
        </w:tc>
      </w:tr>
      <w:tr>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EBITDA Margin</w:t>
            </w:r>
          </w:p>
        </w:tc>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12–18%</w:t>
            </w:r>
          </w:p>
        </w:tc>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28–42%</w:t>
            </w:r>
          </w:p>
        </w:tc>
      </w:tr>
      <w:tr>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OTA Dependency</w:t>
            </w:r>
          </w:p>
        </w:tc>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65–80%</w:t>
            </w:r>
          </w:p>
        </w:tc>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25–40%</w:t>
            </w:r>
          </w:p>
        </w:tc>
      </w:tr>
      <w:tr>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Direct Booking</w:t>
            </w:r>
          </w:p>
        </w:tc>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15–25%</w:t>
            </w:r>
          </w:p>
        </w:tc>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45–70%</w:t>
            </w:r>
          </w:p>
        </w:tc>
      </w:tr>
      <w:tr>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Guest Repeat Rate</w:t>
            </w:r>
          </w:p>
        </w:tc>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8–14%</w:t>
            </w:r>
          </w:p>
        </w:tc>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22–38%</w:t>
            </w:r>
          </w:p>
        </w:tc>
      </w:tr>
    </w:tbl>
    <w:p>
      <w:pPr>
        <w:spacing w:before="60" w:after="100" w:line="300"/>
        <w:jc w:val="both"/>
      </w:pPr>
      <w:r>
        <w:rPr>
          <w:rFonts w:ascii="Calibri" w:cs="Calibri" w:eastAsia="Calibri" w:hAnsi="Calibri"/>
          <w:b w:val="false"/>
          <w:bCs w:val="false"/>
          <w:i/>
          <w:iCs/>
          <w:color w:val="5A5A72"/>
          <w:sz w:val="21"/>
          <w:szCs w:val="21"/>
        </w:rPr>
        <w:t xml:space="preserve">The premium segment generates 2–3x the margin with lower occupancy. This is the fundamental economics of perceived value.</w:t>
      </w:r>
    </w:p>
    <w:p>
      <w:r>
        <w:br w:type="page"/>
      </w:r>
    </w:p>
    <w:p>
      <w:pPr>
        <w:spacing w:before="360" w:after="200"/>
      </w:pPr>
      <w:r>
        <w:rPr>
          <w:rFonts w:ascii="Calibri Light" w:cs="Calibri Light" w:eastAsia="Calibri Light" w:hAnsi="Calibri Light"/>
          <w:b/>
          <w:bCs/>
          <w:color w:val="0D4F4F"/>
          <w:spacing w:val="120"/>
          <w:sz w:val="36"/>
          <w:szCs w:val="36"/>
        </w:rPr>
        <w:t xml:space="preserve">MARKET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p>
      <w:pPr>
        <w:spacing w:before="60" w:after="100" w:line="300"/>
        <w:jc w:val="both"/>
      </w:pPr>
      <w:r>
        <w:rPr>
          <w:rFonts w:ascii="Calibri" w:cs="Calibri" w:eastAsia="Calibri" w:hAnsi="Calibri"/>
          <w:b w:val="false"/>
          <w:bCs w:val="false"/>
          <w:i w:val="false"/>
          <w:iCs w:val="false"/>
          <w:color w:val="2D2D3F"/>
          <w:sz w:val="21"/>
          <w:szCs w:val="21"/>
        </w:rPr>
        <w:t xml:space="preserve">Our analysis of 40+ boutique properties across Colombia and Latin America reveals three systemic strategic errors destroying mid-market hospitality value.</w:t>
      </w:r>
    </w:p>
    <w:p>
      <w:pPr>
        <w:spacing w:before="10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4F4F" w:val="clear"/>
            <w:tcMar>
              <w:top w:type="dxa" w:w="160"/>
              <w:left w:type="dxa" w:w="100"/>
              <w:bottom w:type="dxa" w:w="160"/>
              <w:right w:type="dxa" w:w="100"/>
            </w:tcMar>
            <w:vAlign w:val="top"/>
          </w:tcPr>
          <w:p>
            <w:pPr>
              <w:jc w:val="center"/>
            </w:pPr>
            <w:r>
              <w:rPr>
                <w:rFonts w:ascii="Calibri Light" w:cs="Calibri Light" w:eastAsia="Calibri Light" w:hAnsi="Calibri Light"/>
                <w:b/>
                <w:bCs/>
                <w:color w:val="C9943E"/>
                <w:sz w:val="36"/>
                <w:szCs w:val="36"/>
              </w:rPr>
              <w:t xml:space="preserve">01</w:t>
            </w:r>
          </w:p>
        </w:tc>
        <w:tc>
          <w:tcPr>
            <w:tcW w:type="dxa" w:w="8560"/>
            <w:tcBorders>
              <w:top w:val="none" w:color="FFFFFF" w:sz="0"/>
              <w:left w:val="none" w:color="FFFFFF" w:sz="0"/>
              <w:bottom w:val="none" w:color="FFFFFF" w:sz="0"/>
              <w:right w:val="none" w:color="FFFFFF" w:sz="0"/>
            </w:tcBorders>
            <w:shd w:fill="F2EFEA" w:val="clear"/>
            <w:tcMar>
              <w:top w:type="dxa" w:w="140"/>
              <w:left w:type="dxa" w:w="200"/>
              <w:bottom w:type="dxa" w:w="140"/>
              <w:right w:type="dxa" w:w="200"/>
            </w:tcMar>
          </w:tcPr>
          <w:p>
            <w:pPr>
              <w:spacing w:after="60"/>
            </w:pPr>
            <w:r>
              <w:rPr>
                <w:rFonts w:ascii="Calibri" w:cs="Calibri" w:eastAsia="Calibri" w:hAnsi="Calibri"/>
                <w:b/>
                <w:bCs/>
                <w:color w:val="0D4F4F"/>
                <w:sz w:val="22"/>
                <w:szCs w:val="22"/>
              </w:rPr>
              <w:t xml:space="preserve">Feature Stacking vs. Narrative Construction</w:t>
            </w:r>
          </w:p>
          <w:p>
            <w:pPr>
              <w:spacing w:before="0" w:line="280"/>
            </w:pPr>
            <w:r>
              <w:rPr>
                <w:rFonts w:ascii="Calibri" w:cs="Calibri" w:eastAsia="Calibri" w:hAnsi="Calibri"/>
                <w:color w:val="2D2D3F"/>
                <w:sz w:val="18"/>
                <w:szCs w:val="18"/>
              </w:rPr>
              <w:t xml:space="preserve">Hotel marketing reads like a specification sheet. Management believes guests decide based on rational comparison of features against price. In reality, purchase decisions are driven by narrative coherence — the degree to which a property tells a story the guest wants to inhabit.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4F4F" w:val="clear"/>
            <w:tcMar>
              <w:top w:type="dxa" w:w="160"/>
              <w:left w:type="dxa" w:w="100"/>
              <w:bottom w:type="dxa" w:w="160"/>
              <w:right w:type="dxa" w:w="100"/>
            </w:tcMar>
            <w:vAlign w:val="top"/>
          </w:tcPr>
          <w:p>
            <w:pPr>
              <w:jc w:val="center"/>
            </w:pPr>
            <w:r>
              <w:rPr>
                <w:rFonts w:ascii="Calibri Light" w:cs="Calibri Light" w:eastAsia="Calibri Light" w:hAnsi="Calibri Light"/>
                <w:b/>
                <w:bCs/>
                <w:color w:val="C9943E"/>
                <w:sz w:val="36"/>
                <w:szCs w:val="36"/>
              </w:rPr>
              <w:t xml:space="preserve">02</w:t>
            </w:r>
          </w:p>
        </w:tc>
        <w:tc>
          <w:tcPr>
            <w:tcW w:type="dxa" w:w="8560"/>
            <w:tcBorders>
              <w:top w:val="none" w:color="FFFFFF" w:sz="0"/>
              <w:left w:val="none" w:color="FFFFFF" w:sz="0"/>
              <w:bottom w:val="none" w:color="FFFFFF" w:sz="0"/>
              <w:right w:val="none" w:color="FFFFFF" w:sz="0"/>
            </w:tcBorders>
            <w:shd w:fill="F2EFEA" w:val="clear"/>
            <w:tcMar>
              <w:top w:type="dxa" w:w="140"/>
              <w:left w:type="dxa" w:w="200"/>
              <w:bottom w:type="dxa" w:w="140"/>
              <w:right w:type="dxa" w:w="200"/>
            </w:tcMar>
          </w:tcPr>
          <w:p>
            <w:pPr>
              <w:spacing w:after="60"/>
            </w:pPr>
            <w:r>
              <w:rPr>
                <w:rFonts w:ascii="Calibri" w:cs="Calibri" w:eastAsia="Calibri" w:hAnsi="Calibri"/>
                <w:b/>
                <w:bCs/>
                <w:color w:val="0D4F4F"/>
                <w:sz w:val="22"/>
                <w:szCs w:val="22"/>
              </w:rPr>
              <w:t xml:space="preserve">Democratized Experience vs. Curated Asymmetry</w:t>
            </w:r>
          </w:p>
          <w:p>
            <w:pPr>
              <w:spacing w:before="0" w:line="280"/>
            </w:pPr>
            <w:r>
              <w:rPr>
                <w:rFonts w:ascii="Calibri" w:cs="Calibri" w:eastAsia="Calibri" w:hAnsi="Calibri"/>
                <w:color w:val="2D2D3F"/>
                <w:sz w:val="18"/>
                <w:szCs w:val="18"/>
              </w:rPr>
              <w:t xml:space="preserve">Every guest receives the same experience. Luxury is built on asymmetry — the sensation that one's experience is singular and preferential. A $200 bespoke departure experience generates more lifetime value than a $15,000 lobby renovation.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4F4F" w:val="clear"/>
            <w:tcMar>
              <w:top w:type="dxa" w:w="160"/>
              <w:left w:type="dxa" w:w="100"/>
              <w:bottom w:type="dxa" w:w="160"/>
              <w:right w:type="dxa" w:w="100"/>
            </w:tcMar>
            <w:vAlign w:val="top"/>
          </w:tcPr>
          <w:p>
            <w:pPr>
              <w:jc w:val="center"/>
            </w:pPr>
            <w:r>
              <w:rPr>
                <w:rFonts w:ascii="Calibri Light" w:cs="Calibri Light" w:eastAsia="Calibri Light" w:hAnsi="Calibri Light"/>
                <w:b/>
                <w:bCs/>
                <w:color w:val="C9943E"/>
                <w:sz w:val="36"/>
                <w:szCs w:val="36"/>
              </w:rPr>
              <w:t xml:space="preserve">03</w:t>
            </w:r>
          </w:p>
        </w:tc>
        <w:tc>
          <w:tcPr>
            <w:tcW w:type="dxa" w:w="8560"/>
            <w:tcBorders>
              <w:top w:val="none" w:color="FFFFFF" w:sz="0"/>
              <w:left w:val="none" w:color="FFFFFF" w:sz="0"/>
              <w:bottom w:val="none" w:color="FFFFFF" w:sz="0"/>
              <w:right w:val="none" w:color="FFFFFF" w:sz="0"/>
            </w:tcBorders>
            <w:shd w:fill="F2EFEA" w:val="clear"/>
            <w:tcMar>
              <w:top w:type="dxa" w:w="140"/>
              <w:left w:type="dxa" w:w="200"/>
              <w:bottom w:type="dxa" w:w="140"/>
              <w:right w:type="dxa" w:w="200"/>
            </w:tcMar>
          </w:tcPr>
          <w:p>
            <w:pPr>
              <w:spacing w:after="60"/>
            </w:pPr>
            <w:r>
              <w:rPr>
                <w:rFonts w:ascii="Calibri" w:cs="Calibri" w:eastAsia="Calibri" w:hAnsi="Calibri"/>
                <w:b/>
                <w:bCs/>
                <w:color w:val="0D4F4F"/>
                <w:sz w:val="22"/>
                <w:szCs w:val="22"/>
              </w:rPr>
              <w:t xml:space="preserve">Price Transparency vs. Value Opacity</w:t>
            </w:r>
          </w:p>
          <w:p>
            <w:pPr>
              <w:spacing w:before="0" w:line="280"/>
            </w:pPr>
            <w:r>
              <w:rPr>
                <w:rFonts w:ascii="Calibri" w:cs="Calibri" w:eastAsia="Calibri" w:hAnsi="Calibri"/>
                <w:color w:val="2D2D3F"/>
                <w:sz w:val="18"/>
                <w:szCs w:val="18"/>
              </w:rPr>
              <w:t xml:space="preserve">Rates published on every OTA, compared side-by-side. The mid-market's over-reliance on OTA distribution (65–80%) is not merely a commission cost problem. It is a perception architecture problem.</w:t>
            </w:r>
          </w:p>
        </w:tc>
      </w:tr>
    </w:tbl>
    <w:p>
      <w:r>
        <w:br w:type="page"/>
      </w:r>
    </w:p>
    <w:p>
      <w:pPr>
        <w:spacing w:before="360" w:after="200"/>
      </w:pPr>
      <w:r>
        <w:rPr>
          <w:rFonts w:ascii="Calibri Light" w:cs="Calibri Light" w:eastAsia="Calibri Light" w:hAnsi="Calibri Light"/>
          <w:b/>
          <w:bCs/>
          <w:color w:val="0D4F4F"/>
          <w:spacing w:val="120"/>
          <w:sz w:val="36"/>
          <w:szCs w:val="36"/>
        </w:rPr>
        <w:t xml:space="preserve">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p>
      <w:pPr>
        <w:spacing w:before="60" w:after="100" w:line="300"/>
        <w:jc w:val="both"/>
      </w:pPr>
      <w:r>
        <w:rPr>
          <w:rFonts w:ascii="Calibri" w:cs="Calibri" w:eastAsia="Calibri" w:hAnsi="Calibri"/>
          <w:b w:val="false"/>
          <w:bCs w:val="false"/>
          <w:i w:val="false"/>
          <w:iCs w:val="false"/>
          <w:color w:val="2D2D3F"/>
          <w:sz w:val="21"/>
          <w:szCs w:val="21"/>
        </w:rPr>
        <w:t xml:space="preserve">The Value Architecture™ is a four-pillar model for premium repositioning — a sequenced, interdependent system that re-engineers how a hospitality property creates, communicates, and captures value.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w:t>
            </w:r>
          </w:p>
        </w:tc>
        <w:tc>
          <w:tcPr>
            <w:tcW w:type="dxa" w:w="260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FFFFFF"/>
                <w:sz w:val="16"/>
                <w:szCs w:val="16"/>
              </w:rPr>
              <w:t xml:space="preserve">PILLAR</w:t>
            </w:r>
          </w:p>
        </w:tc>
        <w:tc>
          <w:tcPr>
            <w:tcW w:type="dxa" w:w="616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FFFFFF"/>
                <w:sz w:val="16"/>
                <w:szCs w:val="16"/>
              </w:rPr>
              <w:t xml:space="preserve">FUNCTION</w:t>
            </w:r>
          </w:p>
        </w:tc>
      </w:tr>
      <w:tr>
        <w:tc>
          <w:tcPr>
            <w:tcW w:type="dxa" w:w="60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20"/>
                <w:szCs w:val="20"/>
              </w:rPr>
              <w:t xml:space="preserve">I</w:t>
            </w:r>
          </w:p>
        </w:tc>
        <w:tc>
          <w:tcPr>
            <w:tcW w:type="dxa" w:w="260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Narrative Alchemy</w:t>
            </w:r>
          </w:p>
        </w:tc>
        <w:tc>
          <w:tcPr>
            <w:tcW w:type="dxa" w:w="616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D2D3F"/>
                <w:sz w:val="18"/>
                <w:szCs w:val="18"/>
              </w:rPr>
              <w:t xml:space="preserve">Transform cultural &amp; historical assets into proprietary brand mythology. Estimated ADR impact: +15–30%</w:t>
            </w:r>
          </w:p>
        </w:tc>
      </w:tr>
      <w:tr>
        <w:tc>
          <w:tcPr>
            <w:tcW w:type="dxa" w:w="6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20"/>
                <w:szCs w:val="20"/>
              </w:rPr>
              <w:t xml:space="preserve">II</w:t>
            </w:r>
          </w:p>
        </w:tc>
        <w:tc>
          <w:tcPr>
            <w:tcW w:type="dxa" w:w="26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Sensorial Codification</w:t>
            </w:r>
          </w:p>
        </w:tc>
        <w:tc>
          <w:tcPr>
            <w:tcW w:type="dxa" w:w="616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D2D3F"/>
                <w:sz w:val="18"/>
                <w:szCs w:val="18"/>
              </w:rPr>
              <w:t xml:space="preserve">Engineer multi-sensory guest experience with designed peak moments. Estimated LTV impact: +35–50%</w:t>
            </w:r>
          </w:p>
        </w:tc>
      </w:tr>
      <w:tr>
        <w:tc>
          <w:tcPr>
            <w:tcW w:type="dxa" w:w="60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20"/>
                <w:szCs w:val="20"/>
              </w:rPr>
              <w:t xml:space="preserve">III</w:t>
            </w:r>
          </w:p>
        </w:tc>
        <w:tc>
          <w:tcPr>
            <w:tcW w:type="dxa" w:w="260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Price Architecture</w:t>
            </w:r>
          </w:p>
        </w:tc>
        <w:tc>
          <w:tcPr>
            <w:tcW w:type="dxa" w:w="616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D2D3F"/>
                <w:sz w:val="18"/>
                <w:szCs w:val="18"/>
              </w:rPr>
              <w:t xml:space="preserve">Restructure pricing from rate-per-night to curated value perception. Revenue impact: +18–30%</w:t>
            </w:r>
          </w:p>
        </w:tc>
      </w:tr>
      <w:tr>
        <w:tc>
          <w:tcPr>
            <w:tcW w:type="dxa" w:w="6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20"/>
                <w:szCs w:val="20"/>
              </w:rPr>
              <w:t xml:space="preserve">IV</w:t>
            </w:r>
          </w:p>
        </w:tc>
        <w:tc>
          <w:tcPr>
            <w:tcW w:type="dxa" w:w="26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D4F4F"/>
                <w:sz w:val="18"/>
                <w:szCs w:val="18"/>
              </w:rPr>
              <w:t xml:space="preserve">Programmed Scarcity</w:t>
            </w:r>
          </w:p>
        </w:tc>
        <w:tc>
          <w:tcPr>
            <w:tcW w:type="dxa" w:w="616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D2D3F"/>
                <w:sz w:val="18"/>
                <w:szCs w:val="18"/>
              </w:rPr>
              <w:t xml:space="preserve">Create structural demand tension through controlled access. Reduces seasonal ADR variance to ±10–15%</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4"/>
              <w:left w:val="none" w:color="FFFFFF" w:sz="0"/>
              <w:bottom w:val="single" w:color="C9943E" w:sz="4"/>
              <w:right w:val="none" w:color="FFFFFF" w:sz="0"/>
            </w:tcBorders>
            <w:tcMar>
              <w:top w:type="dxa" w:w="200"/>
              <w:left w:type="dxa" w:w="300"/>
              <w:bottom w:type="dxa" w:w="200"/>
              <w:right w:type="dxa" w:w="300"/>
            </w:tcMar>
          </w:tcPr>
          <w:p>
            <w:pPr>
              <w:spacing w:after="120"/>
              <w:jc w:val="center"/>
            </w:pPr>
            <w:r>
              <w:rPr>
                <w:rFonts w:ascii="Calibri" w:cs="Calibri" w:eastAsia="Calibri" w:hAnsi="Calibri"/>
                <w:b/>
                <w:bCs/>
                <w:color w:val="C9943E"/>
                <w:spacing w:val="140"/>
                <w:sz w:val="16"/>
                <w:szCs w:val="16"/>
              </w:rPr>
              <w:t xml:space="preserve">INTEGRATION MODEL</w:t>
            </w:r>
          </w:p>
          <w:p>
            <w:pPr>
              <w:spacing w:after="40"/>
              <w:jc w:val="center"/>
            </w:pPr>
            <w:r>
              <w:rPr>
                <w:rFonts w:ascii="Calibri Light" w:cs="Calibri Light" w:eastAsia="Calibri Light" w:hAnsi="Calibri Light"/>
                <w:color w:val="0D4F4F"/>
                <w:sz w:val="22"/>
                <w:szCs w:val="22"/>
              </w:rPr>
              <w:t xml:space="preserve">Narrative </w:t>
            </w:r>
            <w:r>
              <w:rPr>
                <w:rFonts w:ascii="Calibri" w:cs="Calibri" w:eastAsia="Calibri" w:hAnsi="Calibri"/>
                <w:b/>
                <w:bCs/>
                <w:color w:val="0D4F4F"/>
                <w:sz w:val="22"/>
                <w:szCs w:val="22"/>
              </w:rPr>
              <w:t xml:space="preserve">creates MEANING</w:t>
            </w:r>
            <w:r>
              <w:rPr>
                <w:rFonts w:ascii="Calibri" w:cs="Calibri" w:eastAsia="Calibri" w:hAnsi="Calibri"/>
                <w:color w:val="C9943E"/>
                <w:sz w:val="22"/>
                <w:szCs w:val="22"/>
              </w:rPr>
              <w:t xml:space="preserve">  •  </w:t>
            </w:r>
            <w:r>
              <w:rPr>
                <w:rFonts w:ascii="Calibri Light" w:cs="Calibri Light" w:eastAsia="Calibri Light" w:hAnsi="Calibri Light"/>
                <w:color w:val="0D4F4F"/>
                <w:sz w:val="22"/>
                <w:szCs w:val="22"/>
              </w:rPr>
              <w:t xml:space="preserve">Sensorial </w:t>
            </w:r>
            <w:r>
              <w:rPr>
                <w:rFonts w:ascii="Calibri" w:cs="Calibri" w:eastAsia="Calibri" w:hAnsi="Calibri"/>
                <w:b/>
                <w:bCs/>
                <w:color w:val="0D4F4F"/>
                <w:sz w:val="22"/>
                <w:szCs w:val="22"/>
              </w:rPr>
              <w:t xml:space="preserve">creates MEMORY</w:t>
            </w:r>
          </w:p>
          <w:p>
            <w:pPr>
              <w:jc w:val="center"/>
            </w:pPr>
            <w:r>
              <w:rPr>
                <w:rFonts w:ascii="Calibri Light" w:cs="Calibri Light" w:eastAsia="Calibri Light" w:hAnsi="Calibri Light"/>
                <w:color w:val="0D4F4F"/>
                <w:sz w:val="22"/>
                <w:szCs w:val="22"/>
              </w:rPr>
              <w:t xml:space="preserve">Price Architecture </w:t>
            </w:r>
            <w:r>
              <w:rPr>
                <w:rFonts w:ascii="Calibri" w:cs="Calibri" w:eastAsia="Calibri" w:hAnsi="Calibri"/>
                <w:b/>
                <w:bCs/>
                <w:color w:val="0D4F4F"/>
                <w:sz w:val="22"/>
                <w:szCs w:val="22"/>
              </w:rPr>
              <w:t xml:space="preserve">creates PERCEPTION</w:t>
            </w:r>
            <w:r>
              <w:rPr>
                <w:rFonts w:ascii="Calibri" w:cs="Calibri" w:eastAsia="Calibri" w:hAnsi="Calibri"/>
                <w:color w:val="C9943E"/>
                <w:sz w:val="22"/>
                <w:szCs w:val="22"/>
              </w:rPr>
              <w:t xml:space="preserve">  •  </w:t>
            </w:r>
            <w:r>
              <w:rPr>
                <w:rFonts w:ascii="Calibri Light" w:cs="Calibri Light" w:eastAsia="Calibri Light" w:hAnsi="Calibri Light"/>
                <w:color w:val="0D4F4F"/>
                <w:sz w:val="22"/>
                <w:szCs w:val="22"/>
              </w:rPr>
              <w:t xml:space="preserve">Scarcity </w:t>
            </w:r>
            <w:r>
              <w:rPr>
                <w:rFonts w:ascii="Calibri" w:cs="Calibri" w:eastAsia="Calibri" w:hAnsi="Calibri"/>
                <w:b/>
                <w:bCs/>
                <w:color w:val="0D4F4F"/>
                <w:sz w:val="22"/>
                <w:szCs w:val="22"/>
              </w:rPr>
              <w:t xml:space="preserve">creates DESIRE</w:t>
            </w:r>
          </w:p>
          <w:p>
            <w:pPr>
              <w:spacing w:before="120"/>
              <w:jc w:val="center"/>
            </w:pPr>
            <w:r>
              <w:rPr>
                <w:rFonts w:ascii="Calibri Light" w:cs="Calibri Light" w:eastAsia="Calibri Light" w:hAnsi="Calibri Light"/>
                <w:color w:val="5A5A72"/>
                <w:sz w:val="24"/>
                <w:szCs w:val="24"/>
              </w:rPr>
              <w:t xml:space="preserve">Together they create </w:t>
            </w:r>
            <w:r>
              <w:rPr>
                <w:rFonts w:ascii="Calibri" w:cs="Calibri" w:eastAsia="Calibri" w:hAnsi="Calibri"/>
                <w:b/>
                <w:bCs/>
                <w:color w:val="C9943E"/>
                <w:sz w:val="24"/>
                <w:szCs w:val="24"/>
              </w:rPr>
              <w:t xml:space="preserve">PRICING POWER</w:t>
            </w:r>
          </w:p>
        </w:tc>
      </w:tr>
    </w:tbl>
    <w:p>
      <w:r>
        <w:br w:type="page"/>
      </w:r>
    </w:p>
    <w:p>
      <w:pPr>
        <w:spacing w:before="360" w:after="200"/>
      </w:pPr>
      <w:r>
        <w:rPr>
          <w:rFonts w:ascii="Calibri Light" w:cs="Calibri Light" w:eastAsia="Calibri Light" w:hAnsi="Calibri Light"/>
          <w:b/>
          <w:bCs/>
          <w:color w:val="0D4F4F"/>
          <w:spacing w:val="120"/>
          <w:sz w:val="36"/>
          <w:szCs w:val="36"/>
        </w:rPr>
        <w:t xml:space="preserve">SIMULATED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4F" w:val="clear"/>
            <w:tcMar>
              <w:top w:type="dxa" w:w="180"/>
              <w:left w:type="dxa" w:w="300"/>
              <w:bottom w:type="dxa" w:w="180"/>
              <w:right w:type="dxa" w:w="300"/>
            </w:tcMar>
          </w:tcPr>
          <w:p>
            <w:pPr>
              <w:spacing w:after="60"/>
            </w:pPr>
            <w:r>
              <w:rPr>
                <w:rFonts w:ascii="Calibri Light" w:cs="Calibri Light" w:eastAsia="Calibri Light" w:hAnsi="Calibri Light"/>
                <w:color w:val="C9943E"/>
                <w:spacing w:val="60"/>
                <w:sz w:val="32"/>
                <w:szCs w:val="32"/>
              </w:rPr>
              <w:t xml:space="preserve">HOTEL ORIGEN</w:t>
            </w:r>
          </w:p>
          <w:p>
            <w:r>
              <w:rPr>
                <w:rFonts w:ascii="Calibri Light" w:cs="Calibri Light" w:eastAsia="Calibri Light" w:hAnsi="Calibri Light"/>
                <w:color w:val="B0C4C4"/>
                <w:sz w:val="18"/>
                <w:szCs w:val="18"/>
              </w:rPr>
              <w:t xml:space="preserve">22-room boutique hotel | Villa de Leyva, Boyacá, Colombia | Restored 1890s Republican mansion</w:t>
            </w:r>
          </w:p>
        </w:tc>
      </w:tr>
    </w:tbl>
    <w:p>
      <w:pPr>
        <w:spacing w:before="160" w:after="0"/>
      </w:pPr>
    </w:p>
    <w:p>
      <w:pPr>
        <w:spacing w:before="240" w:after="140"/>
      </w:pPr>
      <w:r>
        <w:rPr>
          <w:rFonts w:ascii="Calibri Light" w:cs="Calibri Light" w:eastAsia="Calibri Light" w:hAnsi="Calibri Light"/>
          <w:b/>
          <w:bCs/>
          <w:color w:val="0D4F4F"/>
          <w:spacing w:val="60"/>
          <w:sz w:val="28"/>
          <w:szCs w:val="28"/>
        </w:rPr>
        <w:t xml:space="preserve">FINANCIAL TRANSFORMATION: YEAR 0 →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FFFFFF"/>
                <w:sz w:val="16"/>
                <w:szCs w:val="16"/>
              </w:rPr>
              <w:t xml:space="preserve">KPI</w:t>
            </w:r>
          </w:p>
        </w:tc>
        <w:tc>
          <w:tcPr>
            <w:tcW w:type="dxa" w:w="208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YEAR 0</w:t>
            </w:r>
          </w:p>
        </w:tc>
        <w:tc>
          <w:tcPr>
            <w:tcW w:type="dxa" w:w="208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YEAR 2</w:t>
            </w:r>
          </w:p>
        </w:tc>
        <w:tc>
          <w:tcPr>
            <w:tcW w:type="dxa" w:w="2080"/>
            <w:tcBorders>
              <w:top w:val="none" w:color="FFFFFF" w:sz="0"/>
              <w:left w:val="none" w:color="FFFFFF" w:sz="0"/>
              <w:bottom w:val="none" w:color="FFFFFF" w:sz="0"/>
              <w:right w:val="none" w:color="FFFFFF" w:sz="0"/>
            </w:tcBorders>
            <w:shd w:fill="0D4F4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DELTA</w:t>
            </w:r>
          </w:p>
        </w:tc>
      </w:tr>
      <w:tr>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Total Revenue</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$807K</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$1,299K</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+60.9%</w:t>
            </w:r>
          </w:p>
        </w:tc>
      </w:tr>
      <w:tr>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EBITDA</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$174K</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$685K</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+294.5%</w:t>
            </w:r>
          </w:p>
        </w:tc>
      </w:tr>
      <w:tr>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EBITDA Margin</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21.5%</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52.7%</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+31.2pp</w:t>
            </w:r>
          </w:p>
        </w:tc>
      </w:tr>
      <w:tr>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ADR</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$105</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$192</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+82.9%</w:t>
            </w:r>
          </w:p>
        </w:tc>
      </w:tr>
      <w:tr>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RevPAR</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$77.70</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$134.40</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+73.0%</w:t>
            </w:r>
          </w:p>
        </w:tc>
      </w:tr>
      <w:tr>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OTA Dependency</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65%</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22%</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-43pp</w:t>
            </w:r>
          </w:p>
        </w:tc>
      </w:tr>
      <w:tr>
        <w:tc>
          <w:tcPr>
            <w:tcW w:type="dxa" w:w="312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Direct Bookings</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20%</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65%</w:t>
            </w:r>
          </w:p>
        </w:tc>
        <w:tc>
          <w:tcPr>
            <w:tcW w:type="dxa" w:w="2080"/>
            <w:tcBorders>
              <w:top w:val="single" w:color="D4CFC5" w:sz="1"/>
              <w:left w:val="single" w:color="D4CFC5" w:sz="1"/>
              <w:bottom w:val="single" w:color="D4CFC5" w:sz="1"/>
              <w:right w:val="single" w:color="D4CFC5" w:sz="1"/>
            </w:tcBorders>
            <w:shd w:fill="F2EFEA"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+45pp</w:t>
            </w:r>
          </w:p>
        </w:tc>
      </w:tr>
      <w:tr>
        <w:tc>
          <w:tcPr>
            <w:tcW w:type="dxa" w:w="312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2D2D3F"/>
                <w:sz w:val="18"/>
                <w:szCs w:val="18"/>
              </w:rPr>
              <w:t xml:space="preserve">Guest Repeat Rate</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D2D3F"/>
                <w:sz w:val="18"/>
                <w:szCs w:val="18"/>
              </w:rPr>
              <w:t xml:space="preserve">11%</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2D2D3F"/>
                <w:sz w:val="18"/>
                <w:szCs w:val="18"/>
              </w:rPr>
              <w:t xml:space="preserve">28%</w:t>
            </w:r>
          </w:p>
        </w:tc>
        <w:tc>
          <w:tcPr>
            <w:tcW w:type="dxa" w:w="20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C9943E"/>
                <w:sz w:val="18"/>
                <w:szCs w:val="18"/>
              </w:rPr>
              <w:t xml:space="preserve">+17pp</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E6C8" w:val="clear"/>
            <w:tcMar>
              <w:top w:type="dxa" w:w="180"/>
              <w:left w:type="dxa" w:w="240"/>
              <w:bottom w:type="dxa" w:w="180"/>
              <w:right w:type="dxa" w:w="240"/>
            </w:tcMar>
          </w:tcPr>
          <w:p>
            <w:pPr>
              <w:spacing w:after="40"/>
              <w:jc w:val="center"/>
            </w:pPr>
            <w:r>
              <w:rPr>
                <w:rFonts w:ascii="Calibri" w:cs="Calibri" w:eastAsia="Calibri" w:hAnsi="Calibri"/>
                <w:b/>
                <w:bCs/>
                <w:color w:val="0D4F4F"/>
                <w:spacing w:val="80"/>
                <w:sz w:val="14"/>
                <w:szCs w:val="14"/>
              </w:rPr>
              <w:t xml:space="preserve">TOTAL INVESTMENT</w:t>
            </w:r>
          </w:p>
          <w:p>
            <w:pPr>
              <w:jc w:val="center"/>
            </w:pPr>
            <w:r>
              <w:rPr>
                <w:rFonts w:ascii="Calibri Light" w:cs="Calibri Light" w:eastAsia="Calibri Light" w:hAnsi="Calibri Light"/>
                <w:b/>
                <w:bCs/>
                <w:color w:val="0D4F4F"/>
                <w:sz w:val="44"/>
                <w:szCs w:val="44"/>
              </w:rPr>
              <w:t xml:space="preserve">$61,000</w:t>
            </w:r>
          </w:p>
          <w:p>
            <w:pPr>
              <w:spacing w:before="40"/>
              <w:jc w:val="center"/>
            </w:pPr>
            <w:r>
              <w:rPr>
                <w:rFonts w:ascii="Calibri" w:cs="Calibri" w:eastAsia="Calibri" w:hAnsi="Calibri"/>
                <w:color w:val="5A5A72"/>
                <w:sz w:val="16"/>
                <w:szCs w:val="16"/>
              </w:rPr>
              <w:t xml:space="preserve">Across 4 phases, 12 months</w:t>
            </w:r>
          </w:p>
        </w:tc>
        <w:tc>
          <w:tcPr>
            <w:tcW w:type="dxa" w:w="4680"/>
            <w:tcBorders>
              <w:top w:val="none" w:color="FFFFFF" w:sz="0"/>
              <w:left w:val="none" w:color="FFFFFF" w:sz="0"/>
              <w:bottom w:val="none" w:color="FFFFFF" w:sz="0"/>
              <w:right w:val="none" w:color="FFFFFF" w:sz="0"/>
            </w:tcBorders>
            <w:shd w:fill="0D4F4F" w:val="clear"/>
            <w:tcMar>
              <w:top w:type="dxa" w:w="180"/>
              <w:left w:type="dxa" w:w="240"/>
              <w:bottom w:type="dxa" w:w="180"/>
              <w:right w:type="dxa" w:w="240"/>
            </w:tcMar>
          </w:tcPr>
          <w:p>
            <w:pPr>
              <w:spacing w:after="40"/>
              <w:jc w:val="center"/>
            </w:pPr>
            <w:r>
              <w:rPr>
                <w:rFonts w:ascii="Calibri" w:cs="Calibri" w:eastAsia="Calibri" w:hAnsi="Calibri"/>
                <w:b/>
                <w:bCs/>
                <w:color w:val="C9943E"/>
                <w:spacing w:val="80"/>
                <w:sz w:val="14"/>
                <w:szCs w:val="14"/>
              </w:rPr>
              <w:t xml:space="preserve">PAYBACK PERIOD</w:t>
            </w:r>
          </w:p>
          <w:p>
            <w:pPr>
              <w:jc w:val="center"/>
            </w:pPr>
            <w:r>
              <w:rPr>
                <w:rFonts w:ascii="Calibri Light" w:cs="Calibri Light" w:eastAsia="Calibri Light" w:hAnsi="Calibri Light"/>
                <w:b/>
                <w:bCs/>
                <w:color w:val="FFFFFF"/>
                <w:sz w:val="44"/>
                <w:szCs w:val="44"/>
              </w:rPr>
              <w:t xml:space="preserve">&lt; 4 months</w:t>
            </w:r>
          </w:p>
          <w:p>
            <w:pPr>
              <w:spacing w:before="40"/>
              <w:jc w:val="center"/>
            </w:pPr>
            <w:r>
              <w:rPr>
                <w:rFonts w:ascii="Calibri Light" w:cs="Calibri Light" w:eastAsia="Calibri Light" w:hAnsi="Calibri Light"/>
                <w:color w:val="B0C4C4"/>
                <w:sz w:val="16"/>
                <w:szCs w:val="16"/>
              </w:rPr>
              <w:t xml:space="preserve">At steady-state Year 2 economics</w:t>
            </w:r>
          </w:p>
        </w:tc>
      </w:tr>
    </w:tbl>
    <w:p>
      <w:r>
        <w:br w:type="page"/>
      </w:r>
    </w:p>
    <w:p>
      <w:pPr>
        <w:spacing w:before="360" w:after="200"/>
      </w:pPr>
      <w:r>
        <w:rPr>
          <w:rFonts w:ascii="Calibri Light" w:cs="Calibri Light" w:eastAsia="Calibri Light" w:hAnsi="Calibri Light"/>
          <w:b/>
          <w:bCs/>
          <w:color w:val="0D4F4F"/>
          <w:spacing w:val="120"/>
          <w:sz w:val="36"/>
          <w:szCs w:val="36"/>
        </w:rPr>
        <w:t xml:space="preserve">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p>
      <w:pPr>
        <w:spacing w:before="60" w:after="100" w:line="300"/>
        <w:jc w:val="both"/>
      </w:pPr>
      <w:r>
        <w:rPr>
          <w:rFonts w:ascii="Calibri" w:cs="Calibri" w:eastAsia="Calibri" w:hAnsi="Calibri"/>
          <w:b w:val="false"/>
          <w:bCs w:val="false"/>
          <w:i w:val="false"/>
          <w:iCs w:val="false"/>
          <w:color w:val="2D2D3F"/>
          <w:sz w:val="21"/>
          <w:szCs w:val="21"/>
        </w:rPr>
        <w:t xml:space="preserve">The global hospitality industry is undergoing a structural bifurcation. Mid-market boutique hotels face a binary choice: descend into the commodity tier or ascend into the premium tier by deploying the principles that luxury has understood for centuries.</w:t>
      </w:r>
    </w:p>
    <w:p>
      <w:pPr>
        <w:spacing w:before="60" w:after="100" w:line="300"/>
        <w:jc w:val="both"/>
      </w:pPr>
      <w:r>
        <w:rPr>
          <w:rFonts w:ascii="Calibri" w:cs="Calibri" w:eastAsia="Calibri" w:hAnsi="Calibri"/>
          <w:b w:val="false"/>
          <w:bCs w:val="false"/>
          <w:i w:val="false"/>
          <w:iCs w:val="false"/>
          <w:color w:val="2D2D3F"/>
          <w:sz w:val="21"/>
          <w:szCs w:val="21"/>
        </w:rPr>
        <w:t xml:space="preserve">Premium positioning is not a function of capital expenditure. It is a function of strategic intentionality — about narrative, experience, price, and scarcity.</w:t>
      </w:r>
    </w:p>
    <w:p>
      <w:pPr>
        <w:spacing w:before="60" w:after="100" w:line="300"/>
        <w:jc w:val="both"/>
      </w:pPr>
      <w:r>
        <w:rPr>
          <w:rFonts w:ascii="Calibri" w:cs="Calibri" w:eastAsia="Calibri" w:hAnsi="Calibri"/>
          <w:b w:val="false"/>
          <w:bCs w:val="false"/>
          <w:i w:val="false"/>
          <w:iCs w:val="false"/>
          <w:color w:val="2D2D3F"/>
          <w:sz w:val="21"/>
          <w:szCs w:val="21"/>
        </w:rPr>
        <w:t xml:space="preserve">There is an emerging global traveler — affluent but not ultra-wealthy, culturally literate, experience-hungry, narrative-seeking — who is actively searching for properties that offer the emotional depth of luxury without the ostentation of luxury brands.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9943E" w:val="clear"/>
          </w:tcPr>
          <w:p/>
        </w:tc>
        <w:tc>
          <w:tcPr>
            <w:tcW w:type="dxa" w:w="9060"/>
            <w:tcBorders>
              <w:top w:val="none" w:color="FFFFFF" w:sz="0"/>
              <w:left w:val="none" w:color="FFFFFF" w:sz="0"/>
              <w:bottom w:val="none" w:color="FFFFFF" w:sz="0"/>
              <w:right w:val="none" w:color="FFFFFF" w:sz="0"/>
            </w:tcBorders>
            <w:shd w:fill="F5E6C8" w:val="clear"/>
            <w:tcMar>
              <w:top w:type="dxa" w:w="160"/>
              <w:left w:type="dxa" w:w="240"/>
              <w:bottom w:type="dxa" w:w="160"/>
              <w:right w:type="dxa" w:w="240"/>
            </w:tcMar>
          </w:tcPr>
          <w:p>
            <w:pPr>
              <w:spacing w:before="0" w:after="0"/>
            </w:pPr>
            <w:r>
              <w:rPr>
                <w:rFonts w:ascii="Calibri Light" w:cs="Calibri Light" w:eastAsia="Calibri Light" w:hAnsi="Calibri Light"/>
                <w:i/>
                <w:iCs/>
                <w:color w:val="0D4F4F"/>
                <w:sz w:val="22"/>
                <w:szCs w:val="22"/>
              </w:rPr>
              <w:t xml:space="preserve">The opposite of luxury is not poverty. The opposite of luxury is vulgarity. And vulgarity, in hospitality, is the failure to make someone feel that where they are is the only place in the world they should be.</w:t>
            </w:r>
          </w:p>
        </w:tc>
      </w:tr>
    </w:tbl>
    <w:p>
      <w:pPr>
        <w:spacing w:before="300" w:after="0"/>
      </w:pPr>
    </w:p>
    <w:p>
      <w:pPr>
        <w:jc w:val="center"/>
      </w:pPr>
      <w:r>
        <w:rPr>
          <w:rFonts w:ascii="Calibri" w:cs="Calibri" w:eastAsia="Calibri" w:hAnsi="Calibri"/>
          <w:b/>
          <w:bCs/>
          <w:color w:val="5A5A72"/>
          <w:sz w:val="16"/>
          <w:szCs w:val="16"/>
        </w:rPr>
        <w:t xml:space="preserve">CLASSIFICATION: </w:t>
      </w:r>
      <w:r>
        <w:rPr>
          <w:rFonts w:ascii="Calibri" w:cs="Calibri" w:eastAsia="Calibri" w:hAnsi="Calibri"/>
          <w:color w:val="5A5A72"/>
          <w:sz w:val="16"/>
          <w:szCs w:val="16"/>
        </w:rPr>
        <w:t xml:space="preserve">Strategic Advisory — Confidential</w:t>
      </w:r>
    </w:p>
    <w:p>
      <w:pPr>
        <w:spacing w:before="40"/>
        <w:jc w:val="center"/>
      </w:pPr>
      <w:r>
        <w:rPr>
          <w:rFonts w:ascii="Calibri" w:cs="Calibri" w:eastAsia="Calibri" w:hAnsi="Calibri"/>
          <w:b/>
          <w:bCs/>
          <w:color w:val="5A5A72"/>
          <w:sz w:val="16"/>
          <w:szCs w:val="16"/>
        </w:rPr>
        <w:t xml:space="preserve">FRAMEWORK: </w:t>
      </w:r>
      <w:r>
        <w:rPr>
          <w:rFonts w:ascii="Calibri" w:cs="Calibri" w:eastAsia="Calibri" w:hAnsi="Calibri"/>
          <w:color w:val="5A5A72"/>
          <w:sz w:val="16"/>
          <w:szCs w:val="16"/>
        </w:rPr>
        <w:t xml:space="preserve">The Value Architecture™</w:t>
      </w:r>
    </w:p>
    <w:p>
      <w:pPr>
        <w:spacing w:before="40"/>
        <w:jc w:val="center"/>
      </w:pPr>
      <w:r>
        <w:rPr>
          <w:rFonts w:ascii="Calibri" w:cs="Calibri" w:eastAsia="Calibri" w:hAnsi="Calibri"/>
          <w:b/>
          <w:bCs/>
          <w:color w:val="5A5A72"/>
          <w:sz w:val="16"/>
          <w:szCs w:val="16"/>
        </w:rPr>
        <w:t xml:space="preserve">NEXT STEP: </w:t>
      </w:r>
      <w:r>
        <w:rPr>
          <w:rFonts w:ascii="Calibri" w:cs="Calibri" w:eastAsia="Calibri" w:hAnsi="Calibri"/>
          <w:color w:val="5A5A72"/>
          <w:sz w:val="16"/>
          <w:szCs w:val="16"/>
        </w:rPr>
        <w:t xml:space="preserve">Diagnostic Assessment &amp; 90-Day Narrative Alchemy Sprint</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D4CFC5"/>
        <w:spacing w:val="100"/>
        <w:sz w:val="14"/>
        <w:szCs w:val="14"/>
      </w:rPr>
      <w:t xml:space="preserve">CONFIDENTIAL</w:t>
    </w:r>
    <w:r>
      <w:rPr>
        <w:rFonts w:ascii="Calibri" w:cs="Calibri" w:eastAsia="Calibri" w:hAnsi="Calibri"/>
        <w:color w:val="D4CFC5"/>
        <w:sz w:val="14"/>
        <w:szCs w:val="14"/>
      </w:rPr>
      <w:t xml:space="preserve">  |  </w:t>
    </w:r>
    <w:r>
      <w:rPr>
        <w:rFonts w:ascii="Calibri" w:cs="Calibri" w:eastAsia="Calibri" w:hAnsi="Calibri"/>
        <w:color w:val="5A5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9943E" w:sz="2"/>
            <w:right w:val="none" w:color="FFFFFF" w:sz="0"/>
          </w:tcBorders>
        </w:tcPr>
        <w:p>
          <w:r>
            <w:rPr>
              <w:rFonts w:ascii="Calibri" w:cs="Calibri" w:eastAsia="Calibri" w:hAnsi="Calibri"/>
              <w:b/>
              <w:bCs/>
              <w:color w:val="0D4F4F"/>
              <w:spacing w:val="80"/>
              <w:sz w:val="14"/>
              <w:szCs w:val="14"/>
            </w:rPr>
            <w:t xml:space="preserve">THE VALUE ARCHITECTURE</w:t>
          </w:r>
        </w:p>
      </w:tc>
      <w:tc>
        <w:tcPr>
          <w:tcW w:type="dxa" w:w="4680"/>
          <w:tcBorders>
            <w:top w:val="none" w:color="FFFFFF" w:sz="0"/>
            <w:left w:val="none" w:color="FFFFFF" w:sz="0"/>
            <w:bottom w:val="single" w:color="C9943E" w:sz="2"/>
            <w:right w:val="none" w:color="FFFFFF" w:sz="0"/>
          </w:tcBorders>
        </w:tcPr>
        <w:p>
          <w:pPr>
            <w:jc w:val="right"/>
          </w:pPr>
          <w:r>
            <w:rPr>
              <w:rFonts w:ascii="Calibri Light" w:cs="Calibri Light" w:eastAsia="Calibri Light" w:hAnsi="Calibri Light"/>
              <w:i/>
              <w:iCs/>
              <w:color w:val="5A5A72"/>
              <w:sz w:val="14"/>
              <w:szCs w:val="14"/>
            </w:rPr>
            <w:t xml:space="preserve">Strategic Advisory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2026-02-08T23:14:57.493Z</dcterms:created>
  <dcterms:modified xsi:type="dcterms:W3CDTF">2026-02-08T23:14:57.494Z</dcterms:modified>
</cp:coreProperties>
</file>

<file path=docProps/custom.xml><?xml version="1.0" encoding="utf-8"?>
<Properties xmlns="http://schemas.openxmlformats.org/officeDocument/2006/custom-properties" xmlns:vt="http://schemas.openxmlformats.org/officeDocument/2006/docPropsVTypes"/>
</file>