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20" w:hRule="exact"/>
        </w:trPr>
        <w:tc>
          <w:tcPr>
            <w:tcW w:type="dxa" w:w="12240"/>
            <w:tcBorders>
              <w:top w:val="none" w:color="FFFFFF" w:sz="0"/>
              <w:left w:val="none" w:color="FFFFFF" w:sz="0"/>
              <w:bottom w:val="none" w:color="FFFFFF" w:sz="0"/>
              <w:right w:val="none" w:color="FFFFFF" w:sz="0"/>
            </w:tcBorders>
            <w:shd w:fill="B87333" w:val="clear"/>
          </w:tcPr>
          <w:p/>
        </w:tc>
      </w:tr>
    </w:tbl>
    <w:p>
      <w:pPr>
        <w:spacing w:before="1600" w:after="0"/>
      </w:pPr>
    </w:p>
    <w:p>
      <w:pPr>
        <w:spacing w:after="200"/>
        <w:jc w:val="center"/>
      </w:pPr>
      <w:r>
        <w:rPr>
          <w:rFonts w:ascii="Calibri" w:cs="Calibri" w:eastAsia="Calibri" w:hAnsi="Calibri"/>
          <w:b/>
          <w:bCs/>
          <w:color w:val="B87333"/>
          <w:spacing w:val="200"/>
          <w:sz w:val="18"/>
          <w:szCs w:val="18"/>
        </w:rPr>
        <w:t xml:space="preserve">PORTFOLIO | INVESTMENT ANALYSIS</w:t>
      </w:r>
    </w:p>
    <w:p>
      <w:pPr>
        <w:spacing w:after="40"/>
        <w:ind w:left="1440" w:right="1440"/>
        <w:jc w:val="center"/>
      </w:pPr>
      <w:r>
        <w:rPr>
          <w:rFonts w:ascii="Calibri Light" w:cs="Calibri Light" w:eastAsia="Calibri Light" w:hAnsi="Calibri Light"/>
          <w:color w:val="0F2240"/>
          <w:spacing w:val="100"/>
          <w:sz w:val="72"/>
          <w:szCs w:val="72"/>
        </w:rPr>
        <w:t xml:space="preserve">CONFIDENTIAL</w:t>
      </w:r>
    </w:p>
    <w:p>
      <w:pPr>
        <w:spacing w:after="200"/>
        <w:ind w:left="1440" w:right="1440"/>
        <w:jc w:val="center"/>
      </w:pPr>
      <w:r>
        <w:rPr>
          <w:rFonts w:ascii="Calibri Light" w:cs="Calibri Light" w:eastAsia="Calibri Light" w:hAnsi="Calibri Light"/>
          <w:color w:val="0F2240"/>
          <w:spacing w:val="100"/>
          <w:sz w:val="72"/>
          <w:szCs w:val="72"/>
        </w:rPr>
        <w:t xml:space="preserve">INVESTMENT MEMO</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4620"/>
        <w:gridCol w:w="3000"/>
        <w:gridCol w:w="4620"/>
      </w:tblGrid>
      <w:tr>
        <w:trPr>
          <w:trHeight w:val="60" w:hRule="exact"/>
        </w:trPr>
        <w:tc>
          <w:tcPr>
            <w:tcW w:type="dxa" w:w="4620"/>
            <w:tcBorders>
              <w:top w:val="none" w:color="FFFFFF" w:sz="0"/>
              <w:left w:val="none" w:color="FFFFFF" w:sz="0"/>
              <w:bottom w:val="none" w:color="FFFFFF" w:sz="0"/>
              <w:right w:val="none" w:color="FFFFFF" w:sz="0"/>
            </w:tcBorders>
          </w:tcPr>
          <w:p/>
        </w:tc>
        <w:tc>
          <w:tcPr>
            <w:tcW w:type="dxa" w:w="3000"/>
            <w:tcBorders>
              <w:top w:val="none" w:color="FFFFFF" w:sz="0"/>
              <w:left w:val="none" w:color="FFFFFF" w:sz="0"/>
              <w:bottom w:val="single" w:color="B87333" w:sz="4"/>
              <w:right w:val="none" w:color="FFFFFF" w:sz="0"/>
            </w:tcBorders>
          </w:tcPr>
          <w:p/>
        </w:tc>
        <w:tc>
          <w:tcPr>
            <w:tcW w:type="dxa" w:w="4620"/>
            <w:tcBorders>
              <w:top w:val="none" w:color="FFFFFF" w:sz="0"/>
              <w:left w:val="none" w:color="FFFFFF" w:sz="0"/>
              <w:bottom w:val="none" w:color="FFFFFF" w:sz="0"/>
              <w:right w:val="none" w:color="FFFFFF" w:sz="0"/>
            </w:tcBorders>
          </w:tcPr>
          <w:p/>
        </w:tc>
      </w:tr>
    </w:tbl>
    <w:p>
      <w:pPr>
        <w:spacing w:before="200" w:after="0"/>
      </w:pPr>
    </w:p>
    <w:p>
      <w:pPr>
        <w:spacing w:after="80"/>
        <w:ind w:left="2160" w:right="2160"/>
        <w:jc w:val="center"/>
      </w:pPr>
      <w:r>
        <w:rPr>
          <w:rFonts w:ascii="Calibri Light" w:cs="Calibri Light" w:eastAsia="Calibri Light" w:hAnsi="Calibri Light"/>
          <w:i/>
          <w:iCs/>
          <w:color w:val="5A5A72"/>
          <w:sz w:val="26"/>
          <w:szCs w:val="26"/>
        </w:rPr>
        <w:t xml:space="preserve">Embedded Finance — B2B Marketplaces, Latin America</w:t>
      </w:r>
    </w:p>
    <w:p>
      <w:pPr>
        <w:spacing w:after="60"/>
        <w:jc w:val="center"/>
      </w:pPr>
      <w:r>
        <w:rPr>
          <w:rFonts w:ascii="Calibri" w:cs="Calibri" w:eastAsia="Calibri" w:hAnsi="Calibri"/>
          <w:color w:val="5A5A72"/>
          <w:sz w:val="18"/>
          <w:szCs w:val="18"/>
        </w:rPr>
        <w:t xml:space="preserve">Series A / Series B | $105–$135M Deployment</w:t>
      </w:r>
    </w:p>
    <w:p>
      <w:pPr>
        <w:spacing w:before="1400" w:after="0"/>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4080"/>
        <w:gridCol w:w="4080"/>
        <w:gridCol w:w="4080"/>
      </w:tblGrid>
      <w:tr>
        <w:tc>
          <w:tcPr>
            <w:tcW w:type="dxa" w:w="4080"/>
            <w:tcBorders>
              <w:top w:val="none" w:color="FFFFFF" w:sz="0"/>
              <w:left w:val="none" w:color="FFFFFF" w:sz="0"/>
              <w:bottom w:val="none" w:color="FFFFFF" w:sz="0"/>
              <w:right w:val="none" w:color="FFFFFF" w:sz="0"/>
            </w:tcBorders>
            <w:shd w:fill="0F2240" w:val="clear"/>
            <w:tcMar>
              <w:top w:type="dxa" w:w="160"/>
              <w:left w:type="dxa" w:w="300"/>
              <w:bottom w:type="dxa" w:w="160"/>
              <w:right w:type="dxa" w:w="300"/>
            </w:tcMar>
          </w:tcPr>
          <w:p>
            <w:pPr>
              <w:spacing w:after="20"/>
              <w:jc w:val="center"/>
            </w:pPr>
            <w:r>
              <w:rPr>
                <w:rFonts w:ascii="Calibri" w:cs="Calibri" w:eastAsia="Calibri" w:hAnsi="Calibri"/>
                <w:b/>
                <w:bCs/>
                <w:color w:val="B87333"/>
                <w:spacing w:val="100"/>
                <w:sz w:val="12"/>
                <w:szCs w:val="12"/>
              </w:rPr>
              <w:t xml:space="preserve">RECOMMENDATION</w:t>
            </w:r>
          </w:p>
          <w:p>
            <w:pPr>
              <w:jc w:val="center"/>
            </w:pPr>
            <w:r>
              <w:rPr>
                <w:rFonts w:ascii="Calibri Light" w:cs="Calibri Light" w:eastAsia="Calibri Light" w:hAnsi="Calibri Light"/>
                <w:b/>
                <w:bCs/>
                <w:color w:val="FFFFFF"/>
                <w:sz w:val="22"/>
                <w:szCs w:val="22"/>
              </w:rPr>
              <w:t xml:space="preserve">STRONG CONVICTION</w:t>
            </w:r>
          </w:p>
        </w:tc>
        <w:tc>
          <w:tcPr>
            <w:tcW w:type="dxa" w:w="4080"/>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pPr>
              <w:spacing w:after="20"/>
              <w:jc w:val="center"/>
            </w:pPr>
            <w:r>
              <w:rPr>
                <w:rFonts w:ascii="Calibri" w:cs="Calibri" w:eastAsia="Calibri" w:hAnsi="Calibri"/>
                <w:b/>
                <w:bCs/>
                <w:color w:val="B87333"/>
                <w:spacing w:val="100"/>
                <w:sz w:val="12"/>
                <w:szCs w:val="12"/>
              </w:rPr>
              <w:t xml:space="preserve">EXPECTED MOIC</w:t>
            </w:r>
          </w:p>
          <w:p>
            <w:pPr>
              <w:jc w:val="center"/>
            </w:pPr>
            <w:r>
              <w:rPr>
                <w:rFonts w:ascii="Calibri Light" w:cs="Calibri Light" w:eastAsia="Calibri Light" w:hAnsi="Calibri Light"/>
                <w:b/>
                <w:bCs/>
                <w:color w:val="FFFFFF"/>
                <w:sz w:val="22"/>
                <w:szCs w:val="22"/>
              </w:rPr>
              <w:t xml:space="preserve">7–11x Gross</w:t>
            </w:r>
          </w:p>
        </w:tc>
        <w:tc>
          <w:tcPr>
            <w:tcW w:type="dxa" w:w="4080"/>
            <w:tcBorders>
              <w:top w:val="none" w:color="FFFFFF" w:sz="0"/>
              <w:left w:val="none" w:color="FFFFFF" w:sz="0"/>
              <w:bottom w:val="none" w:color="FFFFFF" w:sz="0"/>
              <w:right w:val="none" w:color="FFFFFF" w:sz="0"/>
            </w:tcBorders>
            <w:shd w:fill="B87333" w:val="clear"/>
            <w:tcMar>
              <w:top w:type="dxa" w:w="160"/>
              <w:left w:type="dxa" w:w="300"/>
              <w:bottom w:type="dxa" w:w="160"/>
              <w:right w:type="dxa" w:w="300"/>
            </w:tcMar>
          </w:tcPr>
          <w:p>
            <w:pPr>
              <w:spacing w:after="20"/>
              <w:jc w:val="center"/>
            </w:pPr>
            <w:r>
              <w:rPr>
                <w:rFonts w:ascii="Calibri" w:cs="Calibri" w:eastAsia="Calibri" w:hAnsi="Calibri"/>
                <w:b/>
                <w:bCs/>
                <w:color w:val="0F2240"/>
                <w:spacing w:val="100"/>
                <w:sz w:val="12"/>
                <w:szCs w:val="12"/>
              </w:rPr>
              <w:t xml:space="preserve">CREDIT GAP</w:t>
            </w:r>
          </w:p>
          <w:p>
            <w:pPr>
              <w:jc w:val="center"/>
            </w:pPr>
            <w:r>
              <w:rPr>
                <w:rFonts w:ascii="Calibri Light" w:cs="Calibri Light" w:eastAsia="Calibri Light" w:hAnsi="Calibri Light"/>
                <w:b/>
                <w:bCs/>
                <w:color w:val="0F2240"/>
                <w:sz w:val="22"/>
                <w:szCs w:val="22"/>
              </w:rPr>
              <w:t xml:space="preserve">$85B+ Annual</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80" w:hRule="exact"/>
        </w:trPr>
        <w:tc>
          <w:tcPr>
            <w:tcW w:type="dxa" w:w="12240"/>
            <w:tcBorders>
              <w:top w:val="none" w:color="FFFFFF" w:sz="0"/>
              <w:left w:val="none" w:color="FFFFFF" w:sz="0"/>
              <w:bottom w:val="none" w:color="FFFFFF" w:sz="0"/>
              <w:right w:val="none" w:color="FFFFFF" w:sz="0"/>
            </w:tcBorders>
            <w:shd w:fill="B87333" w:val="clear"/>
          </w:tcPr>
          <w:p/>
        </w:tc>
      </w:tr>
    </w:tbl>
    <w:p>
      <w:pPr>
        <w:sectPr>
          <w:pgSz w:w="12240" w:h="15840" w:orient="portrait"/>
          <w:pgMar w:top="0" w:right="0" w:bottom="0" w:left="0" w:header="708" w:footer="708" w:gutter="0"/>
          <w:pgNumType/>
          <w:docGrid w:linePitch="360"/>
        </w:sectPr>
      </w:pPr>
    </w:p>
    <w:p>
      <w:pPr>
        <w:spacing w:before="360" w:after="200"/>
      </w:pPr>
      <w:r>
        <w:rPr>
          <w:rFonts w:ascii="Calibri Light" w:cs="Calibri Light" w:eastAsia="Calibri Light" w:hAnsi="Calibri Light"/>
          <w:b/>
          <w:bCs/>
          <w:color w:val="0F2240"/>
          <w:spacing w:val="120"/>
          <w:sz w:val="36"/>
          <w:szCs w:val="36"/>
        </w:rPr>
        <w:t xml:space="preserve">INVESTMENT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87333" w:val="clear"/>
          </w:tcPr>
          <w:p/>
        </w:tc>
        <w:tc>
          <w:tcPr>
            <w:tcW w:type="dxa" w:w="9060"/>
            <w:tcBorders>
              <w:top w:val="none" w:color="FFFFFF" w:sz="0"/>
              <w:left w:val="none" w:color="FFFFFF" w:sz="0"/>
              <w:bottom w:val="none" w:color="FFFFFF" w:sz="0"/>
              <w:right w:val="none" w:color="FFFFFF" w:sz="0"/>
            </w:tcBorders>
            <w:shd w:fill="F5E8D8" w:val="clear"/>
            <w:tcMar>
              <w:top w:type="dxa" w:w="160"/>
              <w:left w:type="dxa" w:w="240"/>
              <w:bottom w:type="dxa" w:w="160"/>
              <w:right w:type="dxa" w:w="240"/>
            </w:tcMar>
          </w:tcPr>
          <w:p>
            <w:r>
              <w:rPr>
                <w:rFonts w:ascii="Calibri Light" w:cs="Calibri Light" w:eastAsia="Calibri Light" w:hAnsi="Calibri Light"/>
                <w:i/>
                <w:iCs/>
                <w:color w:val="0F2240"/>
                <w:sz w:val="22"/>
                <w:szCs w:val="22"/>
              </w:rPr>
              <w:t xml:space="preserve">The most valuable financial institutions of the next decade in Latin America will not look like banks. They will look like marketplaces that learned to underwrite.</w:t>
            </w:r>
          </w:p>
        </w:tc>
      </w:tr>
    </w:tbl>
    <w:p>
      <w:pPr>
        <w:spacing w:before="100" w:after="0"/>
      </w:pPr>
    </w:p>
    <w:p>
      <w:pPr>
        <w:spacing w:before="60" w:after="100" w:line="300"/>
        <w:jc w:val="both"/>
      </w:pPr>
      <w:r>
        <w:rPr>
          <w:rFonts w:ascii="Calibri" w:cs="Calibri" w:eastAsia="Calibri" w:hAnsi="Calibri"/>
          <w:b w:val="false"/>
          <w:bCs w:val="false"/>
          <w:i w:val="false"/>
          <w:iCs w:val="false"/>
          <w:color w:val="2A2A3D"/>
          <w:sz w:val="21"/>
          <w:szCs w:val="21"/>
        </w:rPr>
        <w:t xml:space="preserve">Latin America's $1.3T B2B commerce ecosystem operates on financial infrastructure built for consumers, not businesses — creating an $85B+ annual credit gap for SMEs transacting on digital marketplaces. Embedded finance layers deployed at the point of transaction within B2B vertical marketplaces represent a once-in-a-cycle opportunity to capture 3–8% of GMV as financial margin.</w:t>
      </w:r>
    </w:p>
    <w:p>
      <w:pPr>
        <w:spacing w:before="60" w:after="100" w:line="300"/>
        <w:jc w:val="both"/>
      </w:pPr>
      <w:r>
        <w:rPr>
          <w:rFonts w:ascii="Calibri" w:cs="Calibri" w:eastAsia="Calibri" w:hAnsi="Calibri"/>
          <w:b w:val="false"/>
          <w:bCs w:val="false"/>
          <w:i w:val="false"/>
          <w:iCs w:val="false"/>
          <w:color w:val="2A2A3D"/>
          <w:sz w:val="21"/>
          <w:szCs w:val="21"/>
        </w:rPr>
        <w:t xml:space="preserve">The regulatory window (Open Finance in Brazil, Colombia, and Mexico reaching maturity in 2024–2026) has created a 24–36 month asymmetric entry point where first-movers will build data compounding advantages that are structurally insurmountable.</w:t>
      </w:r>
    </w:p>
    <w:p>
      <w:pPr>
        <w:spacing w:before="120" w:after="0"/>
      </w:pPr>
    </w:p>
    <w:p>
      <w:pPr>
        <w:spacing w:before="240" w:after="140"/>
      </w:pPr>
      <w:r>
        <w:rPr>
          <w:rFonts w:ascii="Calibri Light" w:cs="Calibri Light" w:eastAsia="Calibri Light" w:hAnsi="Calibri Light"/>
          <w:b/>
          <w:bCs/>
          <w:color w:val="0F2240"/>
          <w:spacing w:val="60"/>
          <w:sz w:val="28"/>
          <w:szCs w:val="28"/>
        </w:rPr>
        <w:t xml:space="preserve">THE CONVERGENCE: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VECTOR</w:t>
            </w:r>
          </w:p>
        </w:tc>
        <w:tc>
          <w:tcPr>
            <w:tcW w:type="dxa" w:w="348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STATUS</w:t>
            </w:r>
          </w:p>
        </w:tc>
        <w:tc>
          <w:tcPr>
            <w:tcW w:type="dxa" w:w="348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IMPLICATION</w:t>
            </w:r>
          </w:p>
        </w:tc>
      </w:tr>
      <w:tr>
        <w:tc>
          <w:tcPr>
            <w:tcW w:type="dxa" w:w="24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B87333"/>
                <w:sz w:val="17"/>
                <w:szCs w:val="17"/>
              </w:rPr>
              <w:t xml:space="preserve">B2B Marketplace
Maturation</w:t>
            </w:r>
          </w:p>
        </w:tc>
        <w:tc>
          <w:tcPr>
            <w:tcW w:type="dxa" w:w="34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7"/>
                <w:szCs w:val="17"/>
              </w:rPr>
              <w:t xml:space="preserve">~$85–120B GMV in 2024 across LATAM verticals</w:t>
            </w:r>
          </w:p>
        </w:tc>
        <w:tc>
          <w:tcPr>
            <w:tcW w:type="dxa" w:w="34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7"/>
                <w:szCs w:val="17"/>
              </w:rPr>
              <w:t xml:space="preserve">Critical mass of digitized transactions for financial layering</w:t>
            </w:r>
          </w:p>
        </w:tc>
      </w:tr>
      <w:tr>
        <w:tc>
          <w:tcPr>
            <w:tcW w:type="dxa" w:w="24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B87333"/>
                <w:sz w:val="17"/>
                <w:szCs w:val="17"/>
              </w:rPr>
              <w:t xml:space="preserve">Open Finance
Regulation</w:t>
            </w:r>
          </w:p>
        </w:tc>
        <w:tc>
          <w:tcPr>
            <w:tcW w:type="dxa" w:w="34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7"/>
                <w:szCs w:val="17"/>
              </w:rPr>
              <w:t xml:space="preserve">BR Phase 4 live; CO Decreto 1297 operational; MX advancing</w:t>
            </w:r>
          </w:p>
        </w:tc>
        <w:tc>
          <w:tcPr>
            <w:tcW w:type="dxa" w:w="34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7"/>
                <w:szCs w:val="17"/>
              </w:rPr>
              <w:t xml:space="preserve">Asymmetric data access favoring disruptors over incumbents</w:t>
            </w:r>
          </w:p>
        </w:tc>
      </w:tr>
      <w:tr>
        <w:tc>
          <w:tcPr>
            <w:tcW w:type="dxa" w:w="24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B87333"/>
                <w:sz w:val="17"/>
                <w:szCs w:val="17"/>
              </w:rPr>
              <w:t xml:space="preserve">BaaS Infrastructure
Commoditization</w:t>
            </w:r>
          </w:p>
        </w:tc>
        <w:tc>
          <w:tcPr>
            <w:tcW w:type="dxa" w:w="34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7"/>
                <w:szCs w:val="17"/>
              </w:rPr>
              <w:t xml:space="preserve">Deployment cost: $200K–$500K in 3–6 months (vs. $2M+ / 18mo)</w:t>
            </w:r>
          </w:p>
        </w:tc>
        <w:tc>
          <w:tcPr>
            <w:tcW w:type="dxa" w:w="34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7"/>
                <w:szCs w:val="17"/>
              </w:rPr>
              <w:t xml:space="preserve">Barrier shifted from technology to distribution + data</w:t>
            </w:r>
          </w:p>
        </w:tc>
      </w:tr>
    </w:tbl>
    <w:p>
      <w:r>
        <w:br w:type="page"/>
      </w:r>
    </w:p>
    <w:p>
      <w:pPr>
        <w:spacing w:before="360" w:after="200"/>
      </w:pPr>
      <w:r>
        <w:rPr>
          <w:rFonts w:ascii="Calibri Light" w:cs="Calibri Light" w:eastAsia="Calibri Light" w:hAnsi="Calibri Light"/>
          <w:b/>
          <w:bCs/>
          <w:color w:val="0F2240"/>
          <w:spacing w:val="120"/>
          <w:sz w:val="36"/>
          <w:szCs w:val="36"/>
        </w:rPr>
        <w:t xml:space="preserve">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120"/>
              <w:left w:type="dxa" w:w="100"/>
              <w:bottom w:type="dxa" w:w="120"/>
              <w:right w:type="dxa" w:w="100"/>
            </w:tcMar>
          </w:tcPr>
          <w:p>
            <w:pPr>
              <w:spacing w:after="40"/>
              <w:jc w:val="center"/>
            </w:pPr>
            <w:r>
              <w:rPr>
                <w:rFonts w:ascii="Calibri Light" w:cs="Calibri Light" w:eastAsia="Calibri Light" w:hAnsi="Calibri Light"/>
                <w:b/>
                <w:bCs/>
                <w:color w:val="B87333"/>
                <w:sz w:val="48"/>
                <w:szCs w:val="48"/>
              </w:rPr>
              <w:t xml:space="preserve">$5.5B</w:t>
            </w:r>
          </w:p>
          <w:p>
            <w:pPr>
              <w:spacing w:after="20"/>
              <w:jc w:val="center"/>
            </w:pPr>
            <w:r>
              <w:rPr>
                <w:rFonts w:ascii="Calibri" w:cs="Calibri" w:eastAsia="Calibri" w:hAnsi="Calibri"/>
                <w:b/>
                <w:bCs/>
                <w:color w:val="0F2240"/>
                <w:spacing w:val="40"/>
                <w:sz w:val="18"/>
                <w:szCs w:val="18"/>
              </w:rPr>
              <w:t xml:space="preserve">TAM</w:t>
            </w:r>
          </w:p>
          <w:p>
            <w:pPr>
              <w:jc w:val="center"/>
            </w:pPr>
            <w:r>
              <w:rPr>
                <w:rFonts w:ascii="Calibri" w:cs="Calibri" w:eastAsia="Calibri" w:hAnsi="Calibri"/>
                <w:i/>
                <w:iCs/>
                <w:color w:val="5A5A72"/>
                <w:sz w:val="16"/>
                <w:szCs w:val="16"/>
              </w:rPr>
              <w:t xml:space="preserve">LATAM embedded finance revenue</w:t>
            </w:r>
          </w:p>
        </w:tc>
        <w:tc>
          <w:tcPr>
            <w:tcW w:type="dxa" w:w="3120"/>
            <w:tcBorders>
              <w:top w:val="none" w:color="FFFFFF" w:sz="0"/>
              <w:left w:val="none" w:color="FFFFFF" w:sz="0"/>
              <w:bottom w:val="none" w:color="FFFFFF" w:sz="0"/>
              <w:right w:val="none" w:color="FFFFFF" w:sz="0"/>
            </w:tcBorders>
            <w:tcMar>
              <w:top w:type="dxa" w:w="120"/>
              <w:left w:type="dxa" w:w="100"/>
              <w:bottom w:type="dxa" w:w="120"/>
              <w:right w:type="dxa" w:w="100"/>
            </w:tcMar>
          </w:tcPr>
          <w:p>
            <w:pPr>
              <w:spacing w:after="40"/>
              <w:jc w:val="center"/>
            </w:pPr>
            <w:r>
              <w:rPr>
                <w:rFonts w:ascii="Calibri Light" w:cs="Calibri Light" w:eastAsia="Calibri Light" w:hAnsi="Calibri Light"/>
                <w:b/>
                <w:bCs/>
                <w:color w:val="B87333"/>
                <w:sz w:val="48"/>
                <w:szCs w:val="48"/>
              </w:rPr>
              <w:t xml:space="preserve">$715M</w:t>
            </w:r>
          </w:p>
          <w:p>
            <w:pPr>
              <w:spacing w:after="20"/>
              <w:jc w:val="center"/>
            </w:pPr>
            <w:r>
              <w:rPr>
                <w:rFonts w:ascii="Calibri" w:cs="Calibri" w:eastAsia="Calibri" w:hAnsi="Calibri"/>
                <w:b/>
                <w:bCs/>
                <w:color w:val="0F2240"/>
                <w:spacing w:val="40"/>
                <w:sz w:val="18"/>
                <w:szCs w:val="18"/>
              </w:rPr>
              <w:t xml:space="preserve">SAM</w:t>
            </w:r>
          </w:p>
          <w:p>
            <w:pPr>
              <w:jc w:val="center"/>
            </w:pPr>
            <w:r>
              <w:rPr>
                <w:rFonts w:ascii="Calibri" w:cs="Calibri" w:eastAsia="Calibri" w:hAnsi="Calibri"/>
                <w:i/>
                <w:iCs/>
                <w:color w:val="5A5A72"/>
                <w:sz w:val="16"/>
                <w:szCs w:val="16"/>
              </w:rPr>
              <w:t xml:space="preserve">BR + MX + CO target verticals</w:t>
            </w:r>
          </w:p>
        </w:tc>
        <w:tc>
          <w:tcPr>
            <w:tcW w:type="dxa" w:w="3120"/>
            <w:tcBorders>
              <w:top w:val="none" w:color="FFFFFF" w:sz="0"/>
              <w:left w:val="none" w:color="FFFFFF" w:sz="0"/>
              <w:bottom w:val="none" w:color="FFFFFF" w:sz="0"/>
              <w:right w:val="none" w:color="FFFFFF" w:sz="0"/>
            </w:tcBorders>
            <w:tcMar>
              <w:top w:type="dxa" w:w="120"/>
              <w:left w:type="dxa" w:w="100"/>
              <w:bottom w:type="dxa" w:w="120"/>
              <w:right w:type="dxa" w:w="100"/>
            </w:tcMar>
          </w:tcPr>
          <w:p>
            <w:pPr>
              <w:spacing w:after="40"/>
              <w:jc w:val="center"/>
            </w:pPr>
            <w:r>
              <w:rPr>
                <w:rFonts w:ascii="Calibri Light" w:cs="Calibri Light" w:eastAsia="Calibri Light" w:hAnsi="Calibri Light"/>
                <w:b/>
                <w:bCs/>
                <w:color w:val="B87333"/>
                <w:sz w:val="48"/>
                <w:szCs w:val="48"/>
              </w:rPr>
              <w:t xml:space="preserve">$105–115M</w:t>
            </w:r>
          </w:p>
          <w:p>
            <w:pPr>
              <w:spacing w:after="20"/>
              <w:jc w:val="center"/>
            </w:pPr>
            <w:r>
              <w:rPr>
                <w:rFonts w:ascii="Calibri" w:cs="Calibri" w:eastAsia="Calibri" w:hAnsi="Calibri"/>
                <w:b/>
                <w:bCs/>
                <w:color w:val="0F2240"/>
                <w:spacing w:val="40"/>
                <w:sz w:val="18"/>
                <w:szCs w:val="18"/>
              </w:rPr>
              <w:t xml:space="preserve">SOM</w:t>
            </w:r>
          </w:p>
          <w:p>
            <w:pPr>
              <w:jc w:val="center"/>
            </w:pPr>
            <w:r>
              <w:rPr>
                <w:rFonts w:ascii="Calibri" w:cs="Calibri" w:eastAsia="Calibri" w:hAnsi="Calibri"/>
                <w:i/>
                <w:iCs/>
                <w:color w:val="5A5A72"/>
                <w:sz w:val="16"/>
                <w:szCs w:val="16"/>
              </w:rPr>
              <w:t xml:space="preserve">5-year portfolio capture</w:t>
            </w:r>
          </w:p>
        </w:tc>
      </w:tr>
    </w:tbl>
    <w:p>
      <w:pPr>
        <w:spacing w:before="120" w:after="0"/>
      </w:pPr>
    </w:p>
    <w:p>
      <w:pPr>
        <w:spacing w:before="60" w:after="100" w:line="300"/>
        <w:jc w:val="both"/>
      </w:pPr>
      <w:r>
        <w:rPr>
          <w:rFonts w:ascii="Calibri" w:cs="Calibri" w:eastAsia="Calibri" w:hAnsi="Calibri"/>
          <w:b w:val="false"/>
          <w:bCs w:val="false"/>
          <w:i w:val="false"/>
          <w:iCs w:val="false"/>
          <w:color w:val="2A2A3D"/>
          <w:sz w:val="21"/>
          <w:szCs w:val="21"/>
        </w:rPr>
        <w:t xml:space="preserve">Implied portfolio value at 12–18x revenue multiple: $1.3–$2.1B on $80–$120M deployed capital, representing a 10–18x gross MOIC at the upper bound. This is a fund-defining opportunity.</w:t>
      </w:r>
    </w:p>
    <w:p>
      <w:pPr>
        <w:spacing w:before="120" w:after="0"/>
      </w:pPr>
    </w:p>
    <w:p>
      <w:pPr>
        <w:spacing w:before="240" w:after="140"/>
      </w:pPr>
      <w:r>
        <w:rPr>
          <w:rFonts w:ascii="Calibri Light" w:cs="Calibri Light" w:eastAsia="Calibri Light" w:hAnsi="Calibri Light"/>
          <w:b/>
          <w:bCs/>
          <w:color w:val="0F2240"/>
          <w:spacing w:val="60"/>
          <w:sz w:val="28"/>
          <w:szCs w:val="28"/>
        </w:rPr>
        <w:t xml:space="preserve">EMBEDDABLE REVENUE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6"/>
                <w:szCs w:val="16"/>
              </w:rPr>
              <w:t xml:space="preserve">PRODUCT LAYER</w:t>
            </w:r>
          </w:p>
        </w:tc>
        <w:tc>
          <w:tcPr>
            <w:tcW w:type="dxa" w:w="22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PENETRATION</w:t>
            </w:r>
          </w:p>
        </w:tc>
        <w:tc>
          <w:tcPr>
            <w:tcW w:type="dxa" w:w="22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TAKE RATE</w:t>
            </w:r>
          </w:p>
        </w:tc>
        <w:tc>
          <w:tcPr>
            <w:tcW w:type="dxa" w:w="216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REVENUE POOL</w:t>
            </w:r>
          </w:p>
        </w:tc>
      </w:tr>
      <w:tr>
        <w:tc>
          <w:tcPr>
            <w:tcW w:type="dxa" w:w="28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Working Capital Lending</w:t>
            </w:r>
          </w:p>
        </w:tc>
        <w:tc>
          <w:tcPr>
            <w:tcW w:type="dxa" w:w="2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25–35% of GMV</w:t>
            </w:r>
          </w:p>
        </w:tc>
        <w:tc>
          <w:tcPr>
            <w:tcW w:type="dxa" w:w="2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4–8% NIM</w:t>
            </w:r>
          </w:p>
        </w:tc>
        <w:tc>
          <w:tcPr>
            <w:tcW w:type="dxa" w:w="216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$1.5–4.0B</w:t>
            </w:r>
          </w:p>
        </w:tc>
      </w:tr>
      <w:tr>
        <w:tc>
          <w:tcPr>
            <w:tcW w:type="dxa" w:w="28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Embedded Payments</w:t>
            </w:r>
          </w:p>
        </w:tc>
        <w:tc>
          <w:tcPr>
            <w:tcW w:type="dxa" w:w="2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60–80% of GMV</w:t>
            </w:r>
          </w:p>
        </w:tc>
        <w:tc>
          <w:tcPr>
            <w:tcW w:type="dxa" w:w="2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0.8–1.5%</w:t>
            </w:r>
          </w:p>
        </w:tc>
        <w:tc>
          <w:tcPr>
            <w:tcW w:type="dxa" w:w="216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$0.7–2.1B</w:t>
            </w:r>
          </w:p>
        </w:tc>
      </w:tr>
      <w:tr>
        <w:tc>
          <w:tcPr>
            <w:tcW w:type="dxa" w:w="28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Embedded Insurance</w:t>
            </w:r>
          </w:p>
        </w:tc>
        <w:tc>
          <w:tcPr>
            <w:tcW w:type="dxa" w:w="2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10–20% of GMV</w:t>
            </w:r>
          </w:p>
        </w:tc>
        <w:tc>
          <w:tcPr>
            <w:tcW w:type="dxa" w:w="2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2–5% premium</w:t>
            </w:r>
          </w:p>
        </w:tc>
        <w:tc>
          <w:tcPr>
            <w:tcW w:type="dxa" w:w="216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$0.3–1.8B</w:t>
            </w:r>
          </w:p>
        </w:tc>
      </w:tr>
      <w:tr>
        <w:tc>
          <w:tcPr>
            <w:tcW w:type="dxa" w:w="28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FX / Cross-Border</w:t>
            </w:r>
          </w:p>
        </w:tc>
        <w:tc>
          <w:tcPr>
            <w:tcW w:type="dxa" w:w="2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15–25% of GMV</w:t>
            </w:r>
          </w:p>
        </w:tc>
        <w:tc>
          <w:tcPr>
            <w:tcW w:type="dxa" w:w="2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0.5–2.0%</w:t>
            </w:r>
          </w:p>
        </w:tc>
        <w:tc>
          <w:tcPr>
            <w:tcW w:type="dxa" w:w="216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$0.1–0.9B</w:t>
            </w:r>
          </w:p>
        </w:tc>
      </w:tr>
    </w:tbl>
    <w:p>
      <w:r>
        <w:br w:type="page"/>
      </w:r>
    </w:p>
    <w:p>
      <w:pPr>
        <w:spacing w:before="360" w:after="200"/>
      </w:pPr>
      <w:r>
        <w:rPr>
          <w:rFonts w:ascii="Calibri Light" w:cs="Calibri Light" w:eastAsia="Calibri Light" w:hAnsi="Calibri Light"/>
          <w:b/>
          <w:bCs/>
          <w:color w:val="0F2240"/>
          <w:spacing w:val="120"/>
          <w:sz w:val="36"/>
          <w:szCs w:val="36"/>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2240" w:val="clear"/>
            <w:tcMar>
              <w:top w:type="dxa" w:w="160"/>
              <w:left w:type="dxa" w:w="100"/>
              <w:bottom w:type="dxa" w:w="160"/>
              <w:right w:type="dxa" w:w="100"/>
            </w:tcMar>
            <w:vAlign w:val="top"/>
          </w:tcPr>
          <w:p>
            <w:pPr>
              <w:jc w:val="center"/>
            </w:pPr>
            <w:r>
              <w:rPr>
                <w:rFonts w:ascii="Calibri Light" w:cs="Calibri Light" w:eastAsia="Calibri Light" w:hAnsi="Calibri Light"/>
                <w:b/>
                <w:bCs/>
                <w:color w:val="B87333"/>
                <w:sz w:val="36"/>
                <w:szCs w:val="36"/>
              </w:rPr>
              <w:t xml:space="preserve">01</w:t>
            </w:r>
          </w:p>
        </w:tc>
        <w:tc>
          <w:tcPr>
            <w:tcW w:type="dxa" w:w="8560"/>
            <w:tcBorders>
              <w:top w:val="none" w:color="FFFFFF" w:sz="0"/>
              <w:left w:val="none" w:color="FFFFFF" w:sz="0"/>
              <w:bottom w:val="none" w:color="FFFFFF" w:sz="0"/>
              <w:right w:val="none" w:color="FFFFFF" w:sz="0"/>
            </w:tcBorders>
            <w:shd w:fill="F0EDE8" w:val="clear"/>
            <w:tcMar>
              <w:top w:type="dxa" w:w="140"/>
              <w:left w:type="dxa" w:w="200"/>
              <w:bottom w:type="dxa" w:w="140"/>
              <w:right w:type="dxa" w:w="200"/>
            </w:tcMar>
          </w:tcPr>
          <w:p>
            <w:pPr>
              <w:spacing w:after="40"/>
            </w:pPr>
            <w:r>
              <w:rPr>
                <w:rFonts w:ascii="Calibri" w:cs="Calibri" w:eastAsia="Calibri" w:hAnsi="Calibri"/>
                <w:b/>
                <w:bCs/>
                <w:color w:val="0F2240"/>
                <w:sz w:val="22"/>
                <w:szCs w:val="22"/>
              </w:rPr>
              <w:t xml:space="preserve">Credit Risk — Portfolio Default</w:t>
            </w:r>
          </w:p>
          <w:p>
            <w:pPr>
              <w:spacing w:after="60"/>
            </w:pPr>
            <w:r>
              <w:rPr>
                <w:rFonts w:ascii="Calibri" w:cs="Calibri" w:eastAsia="Calibri" w:hAnsi="Calibri"/>
                <w:b/>
                <w:bCs/>
                <w:color w:val="A83232"/>
                <w:sz w:val="16"/>
                <w:szCs w:val="16"/>
              </w:rPr>
              <w:t xml:space="preserve">Severity: HIGH  |  </w:t>
            </w:r>
            <w:r>
              <w:rPr>
                <w:rFonts w:ascii="Calibri" w:cs="Calibri" w:eastAsia="Calibri" w:hAnsi="Calibri"/>
                <w:color w:val="5A5A72"/>
                <w:sz w:val="16"/>
                <w:szCs w:val="16"/>
              </w:rPr>
              <w:t xml:space="preserve">Probability: MOD-HIGH  |  </w:t>
            </w:r>
            <w:r>
              <w:rPr>
                <w:rFonts w:ascii="Calibri" w:cs="Calibri" w:eastAsia="Calibri" w:hAnsi="Calibri"/>
                <w:b/>
                <w:bCs/>
                <w:color w:val="1B7A4E"/>
                <w:sz w:val="16"/>
                <w:szCs w:val="16"/>
              </w:rPr>
              <w:t xml:space="preserve">Residual: MODERATE</w:t>
            </w:r>
          </w:p>
          <w:p>
            <w:pPr>
              <w:spacing w:line="280"/>
            </w:pPr>
            <w:r>
              <w:rPr>
                <w:rFonts w:ascii="Calibri" w:cs="Calibri" w:eastAsia="Calibri" w:hAnsi="Calibri"/>
                <w:color w:val="2A2A3D"/>
                <w:sz w:val="18"/>
                <w:szCs w:val="18"/>
              </w:rPr>
              <w:t xml:space="preserve">Transactional data never stress-tested across full economic cycle. Mitigated by: 30–40% LTV caps, structural repayment integration, 30–90 day tenors, portfolio insurance layer.</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2240" w:val="clear"/>
            <w:tcMar>
              <w:top w:type="dxa" w:w="160"/>
              <w:left w:type="dxa" w:w="100"/>
              <w:bottom w:type="dxa" w:w="160"/>
              <w:right w:type="dxa" w:w="100"/>
            </w:tcMar>
            <w:vAlign w:val="top"/>
          </w:tcPr>
          <w:p>
            <w:pPr>
              <w:jc w:val="center"/>
            </w:pPr>
            <w:r>
              <w:rPr>
                <w:rFonts w:ascii="Calibri Light" w:cs="Calibri Light" w:eastAsia="Calibri Light" w:hAnsi="Calibri Light"/>
                <w:b/>
                <w:bCs/>
                <w:color w:val="B87333"/>
                <w:sz w:val="36"/>
                <w:szCs w:val="36"/>
              </w:rPr>
              <w:t xml:space="preserve">02</w:t>
            </w:r>
          </w:p>
        </w:tc>
        <w:tc>
          <w:tcPr>
            <w:tcW w:type="dxa" w:w="8560"/>
            <w:tcBorders>
              <w:top w:val="none" w:color="FFFFFF" w:sz="0"/>
              <w:left w:val="none" w:color="FFFFFF" w:sz="0"/>
              <w:bottom w:val="none" w:color="FFFFFF" w:sz="0"/>
              <w:right w:val="none" w:color="FFFFFF" w:sz="0"/>
            </w:tcBorders>
            <w:shd w:fill="F0EDE8" w:val="clear"/>
            <w:tcMar>
              <w:top w:type="dxa" w:w="140"/>
              <w:left w:type="dxa" w:w="200"/>
              <w:bottom w:type="dxa" w:w="140"/>
              <w:right w:type="dxa" w:w="200"/>
            </w:tcMar>
          </w:tcPr>
          <w:p>
            <w:pPr>
              <w:spacing w:after="40"/>
            </w:pPr>
            <w:r>
              <w:rPr>
                <w:rFonts w:ascii="Calibri" w:cs="Calibri" w:eastAsia="Calibri" w:hAnsi="Calibri"/>
                <w:b/>
                <w:bCs/>
                <w:color w:val="0F2240"/>
                <w:sz w:val="22"/>
                <w:szCs w:val="22"/>
              </w:rPr>
              <w:t xml:space="preserve">Regulatory Risk — Framework Change</w:t>
            </w:r>
          </w:p>
          <w:p>
            <w:pPr>
              <w:spacing w:after="60"/>
            </w:pPr>
            <w:r>
              <w:rPr>
                <w:rFonts w:ascii="Calibri" w:cs="Calibri" w:eastAsia="Calibri" w:hAnsi="Calibri"/>
                <w:b/>
                <w:bCs/>
                <w:color w:val="A83232"/>
                <w:sz w:val="16"/>
                <w:szCs w:val="16"/>
              </w:rPr>
              <w:t xml:space="preserve">Severity: HIGH  |  </w:t>
            </w:r>
            <w:r>
              <w:rPr>
                <w:rFonts w:ascii="Calibri" w:cs="Calibri" w:eastAsia="Calibri" w:hAnsi="Calibri"/>
                <w:color w:val="5A5A72"/>
                <w:sz w:val="16"/>
                <w:szCs w:val="16"/>
              </w:rPr>
              <w:t xml:space="preserve">Probability: LOW-MOD  |  </w:t>
            </w:r>
            <w:r>
              <w:rPr>
                <w:rFonts w:ascii="Calibri" w:cs="Calibri" w:eastAsia="Calibri" w:hAnsi="Calibri"/>
                <w:b/>
                <w:bCs/>
                <w:color w:val="1B7A4E"/>
                <w:sz w:val="16"/>
                <w:szCs w:val="16"/>
              </w:rPr>
              <w:t xml:space="preserve">Residual: LOW-MOD</w:t>
            </w:r>
          </w:p>
          <w:p>
            <w:pPr>
              <w:spacing w:line="280"/>
            </w:pPr>
            <w:r>
              <w:rPr>
                <w:rFonts w:ascii="Calibri" w:cs="Calibri" w:eastAsia="Calibri" w:hAnsi="Calibri"/>
                <w:color w:val="2A2A3D"/>
                <w:sz w:val="18"/>
                <w:szCs w:val="18"/>
              </w:rPr>
              <w:t xml:space="preserve">Evolving licensing frameworks across BR/MX/CO. Mitigated by: license-first strategy, dedicated regulatory affairs, geographic diversification, voluntary rate caps.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F2240" w:val="clear"/>
            <w:tcMar>
              <w:top w:type="dxa" w:w="160"/>
              <w:left w:type="dxa" w:w="100"/>
              <w:bottom w:type="dxa" w:w="160"/>
              <w:right w:type="dxa" w:w="100"/>
            </w:tcMar>
            <w:vAlign w:val="top"/>
          </w:tcPr>
          <w:p>
            <w:pPr>
              <w:jc w:val="center"/>
            </w:pPr>
            <w:r>
              <w:rPr>
                <w:rFonts w:ascii="Calibri Light" w:cs="Calibri Light" w:eastAsia="Calibri Light" w:hAnsi="Calibri Light"/>
                <w:b/>
                <w:bCs/>
                <w:color w:val="B87333"/>
                <w:sz w:val="36"/>
                <w:szCs w:val="36"/>
              </w:rPr>
              <w:t xml:space="preserve">03</w:t>
            </w:r>
          </w:p>
        </w:tc>
        <w:tc>
          <w:tcPr>
            <w:tcW w:type="dxa" w:w="8560"/>
            <w:tcBorders>
              <w:top w:val="none" w:color="FFFFFF" w:sz="0"/>
              <w:left w:val="none" w:color="FFFFFF" w:sz="0"/>
              <w:bottom w:val="none" w:color="FFFFFF" w:sz="0"/>
              <w:right w:val="none" w:color="FFFFFF" w:sz="0"/>
            </w:tcBorders>
            <w:shd w:fill="F0EDE8" w:val="clear"/>
            <w:tcMar>
              <w:top w:type="dxa" w:w="140"/>
              <w:left w:type="dxa" w:w="200"/>
              <w:bottom w:type="dxa" w:w="140"/>
              <w:right w:type="dxa" w:w="200"/>
            </w:tcMar>
          </w:tcPr>
          <w:p>
            <w:pPr>
              <w:spacing w:after="40"/>
            </w:pPr>
            <w:r>
              <w:rPr>
                <w:rFonts w:ascii="Calibri" w:cs="Calibri" w:eastAsia="Calibri" w:hAnsi="Calibri"/>
                <w:b/>
                <w:bCs/>
                <w:color w:val="0F2240"/>
                <w:sz w:val="22"/>
                <w:szCs w:val="22"/>
              </w:rPr>
              <w:t xml:space="preserve">Adoption Risk — SME Willingness</w:t>
            </w:r>
          </w:p>
          <w:p>
            <w:pPr>
              <w:spacing w:after="60"/>
            </w:pPr>
            <w:r>
              <w:rPr>
                <w:rFonts w:ascii="Calibri" w:cs="Calibri" w:eastAsia="Calibri" w:hAnsi="Calibri"/>
                <w:b/>
                <w:bCs/>
                <w:color w:val="A83232"/>
                <w:sz w:val="16"/>
                <w:szCs w:val="16"/>
              </w:rPr>
              <w:t xml:space="preserve">Severity: MOD  |  </w:t>
            </w:r>
            <w:r>
              <w:rPr>
                <w:rFonts w:ascii="Calibri" w:cs="Calibri" w:eastAsia="Calibri" w:hAnsi="Calibri"/>
                <w:color w:val="5A5A72"/>
                <w:sz w:val="16"/>
                <w:szCs w:val="16"/>
              </w:rPr>
              <w:t xml:space="preserve">Probability: MODERATE  |  </w:t>
            </w:r>
            <w:r>
              <w:rPr>
                <w:rFonts w:ascii="Calibri" w:cs="Calibri" w:eastAsia="Calibri" w:hAnsi="Calibri"/>
                <w:b/>
                <w:bCs/>
                <w:color w:val="1B7A4E"/>
                <w:sz w:val="16"/>
                <w:szCs w:val="16"/>
              </w:rPr>
              <w:t xml:space="preserve">Residual: MODERATE</w:t>
            </w:r>
          </w:p>
          <w:p>
            <w:pPr>
              <w:spacing w:line="280"/>
            </w:pPr>
            <w:r>
              <w:rPr>
                <w:rFonts w:ascii="Calibri" w:cs="Calibri" w:eastAsia="Calibri" w:hAnsi="Calibri"/>
                <w:color w:val="2A2A3D"/>
                <w:sz w:val="18"/>
                <w:szCs w:val="18"/>
              </w:rPr>
              <w:t xml:space="preserve">Trust deficit with non-bank providers. Mitigated by: invisible embedding ("show don't sell"), graduated exposure model, field sales integration, tax-neutral product design.</w:t>
            </w:r>
          </w:p>
        </w:tc>
      </w:tr>
    </w:tbl>
    <w:p>
      <w:r>
        <w:br w:type="page"/>
      </w:r>
    </w:p>
    <w:p>
      <w:pPr>
        <w:spacing w:before="360" w:after="200"/>
      </w:pPr>
      <w:r>
        <w:rPr>
          <w:rFonts w:ascii="Calibri Light" w:cs="Calibri Light" w:eastAsia="Calibri Light" w:hAnsi="Calibri Light"/>
          <w:b/>
          <w:bCs/>
          <w:color w:val="0F2240"/>
          <w:spacing w:val="120"/>
          <w:sz w:val="36"/>
          <w:szCs w:val="36"/>
        </w:rPr>
        <w:t xml:space="preserve">TARGET RETURN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00"/>
        <w:gridCol w:w="1500"/>
        <w:gridCol w:w="1380"/>
        <w:gridCol w:w="1380"/>
      </w:tblGrid>
      <w:tr>
        <w:tc>
          <w:tcPr>
            <w:tcW w:type="dxa" w:w="18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5"/>
                <w:szCs w:val="15"/>
              </w:rPr>
              <w:t xml:space="preserve">SCENARIO</w:t>
            </w:r>
          </w:p>
        </w:tc>
        <w:tc>
          <w:tcPr>
            <w:tcW w:type="dxa" w:w="12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5"/>
                <w:szCs w:val="15"/>
              </w:rPr>
              <w:t xml:space="preserve">PROB.</w:t>
            </w:r>
          </w:p>
        </w:tc>
        <w:tc>
          <w:tcPr>
            <w:tcW w:type="dxa" w:w="21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5"/>
                <w:szCs w:val="15"/>
              </w:rPr>
              <w:t xml:space="preserve">PORTFOLIO VALUE</w:t>
            </w:r>
          </w:p>
        </w:tc>
        <w:tc>
          <w:tcPr>
            <w:tcW w:type="dxa" w:w="15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5"/>
                <w:szCs w:val="15"/>
              </w:rPr>
              <w:t xml:space="preserve">MOIC</w:t>
            </w:r>
          </w:p>
        </w:tc>
        <w:tc>
          <w:tcPr>
            <w:tcW w:type="dxa" w:w="138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5"/>
                <w:szCs w:val="15"/>
              </w:rPr>
              <w:t xml:space="preserve">NET IRR</w:t>
            </w:r>
          </w:p>
        </w:tc>
        <w:tc>
          <w:tcPr>
            <w:tcW w:type="dxa" w:w="138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20"/>
                <w:szCs w:val="20"/>
              </w:rPr>
              <w:t xml:space="preserve"/>
            </w:r>
          </w:p>
        </w:tc>
      </w:tr>
      <w:tr>
        <w:tc>
          <w:tcPr>
            <w:tcW w:type="dxa" w:w="18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1B7A4E"/>
                <w:sz w:val="18"/>
                <w:szCs w:val="18"/>
              </w:rPr>
              <w:t xml:space="preserve">Bull</w:t>
            </w:r>
          </w:p>
        </w:tc>
        <w:tc>
          <w:tcPr>
            <w:tcW w:type="dxa" w:w="1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25%</w:t>
            </w:r>
          </w:p>
        </w:tc>
        <w:tc>
          <w:tcPr>
            <w:tcW w:type="dxa" w:w="21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$1.8–2.4B</w:t>
            </w:r>
          </w:p>
        </w:tc>
        <w:tc>
          <w:tcPr>
            <w:tcW w:type="dxa" w:w="15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1B7A4E"/>
                <w:sz w:val="18"/>
                <w:szCs w:val="18"/>
              </w:rPr>
              <w:t xml:space="preserve">14–18x</w:t>
            </w:r>
          </w:p>
        </w:tc>
        <w:tc>
          <w:tcPr>
            <w:tcW w:type="dxa" w:w="13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65–85%</w:t>
            </w:r>
          </w:p>
        </w:tc>
        <w:tc>
          <w:tcPr>
            <w:tcW w:type="dxa" w:w="13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20"/>
                <w:szCs w:val="20"/>
              </w:rPr>
              <w:t xml:space="preserve"/>
            </w:r>
          </w:p>
        </w:tc>
      </w:tr>
      <w:tr>
        <w:tc>
          <w:tcPr>
            <w:tcW w:type="dxa" w:w="18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B87333"/>
                <w:sz w:val="18"/>
                <w:szCs w:val="18"/>
              </w:rPr>
              <w:t xml:space="preserve">Base</w:t>
            </w:r>
          </w:p>
        </w:tc>
        <w:tc>
          <w:tcPr>
            <w:tcW w:type="dxa" w:w="1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45%</w:t>
            </w:r>
          </w:p>
        </w:tc>
        <w:tc>
          <w:tcPr>
            <w:tcW w:type="dxa" w:w="21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$800M–1.3B</w:t>
            </w:r>
          </w:p>
        </w:tc>
        <w:tc>
          <w:tcPr>
            <w:tcW w:type="dxa" w:w="15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6–10x</w:t>
            </w:r>
          </w:p>
        </w:tc>
        <w:tc>
          <w:tcPr>
            <w:tcW w:type="dxa" w:w="13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40–55%</w:t>
            </w:r>
          </w:p>
        </w:tc>
        <w:tc>
          <w:tcPr>
            <w:tcW w:type="dxa" w:w="13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20"/>
                <w:szCs w:val="20"/>
              </w:rPr>
              <w:t xml:space="preserve"/>
            </w:r>
          </w:p>
        </w:tc>
      </w:tr>
      <w:tr>
        <w:tc>
          <w:tcPr>
            <w:tcW w:type="dxa" w:w="18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5A5A72"/>
                <w:sz w:val="18"/>
                <w:szCs w:val="18"/>
              </w:rPr>
              <w:t xml:space="preserve">Bear</w:t>
            </w:r>
          </w:p>
        </w:tc>
        <w:tc>
          <w:tcPr>
            <w:tcW w:type="dxa" w:w="1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25%</w:t>
            </w:r>
          </w:p>
        </w:tc>
        <w:tc>
          <w:tcPr>
            <w:tcW w:type="dxa" w:w="21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$250–500M</w:t>
            </w:r>
          </w:p>
        </w:tc>
        <w:tc>
          <w:tcPr>
            <w:tcW w:type="dxa" w:w="15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5A5A72"/>
                <w:sz w:val="18"/>
                <w:szCs w:val="18"/>
              </w:rPr>
              <w:t xml:space="preserve">2–4x</w:t>
            </w:r>
          </w:p>
        </w:tc>
        <w:tc>
          <w:tcPr>
            <w:tcW w:type="dxa" w:w="13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15–25%</w:t>
            </w:r>
          </w:p>
        </w:tc>
        <w:tc>
          <w:tcPr>
            <w:tcW w:type="dxa" w:w="138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20"/>
                <w:szCs w:val="20"/>
              </w:rPr>
              <w:t xml:space="preserve"/>
            </w:r>
          </w:p>
        </w:tc>
      </w:tr>
      <w:tr>
        <w:tc>
          <w:tcPr>
            <w:tcW w:type="dxa" w:w="18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A83232"/>
                <w:sz w:val="18"/>
                <w:szCs w:val="18"/>
              </w:rPr>
              <w:t xml:space="preserve">Catastrophic</w:t>
            </w:r>
          </w:p>
        </w:tc>
        <w:tc>
          <w:tcPr>
            <w:tcW w:type="dxa" w:w="1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5%</w:t>
            </w:r>
          </w:p>
        </w:tc>
        <w:tc>
          <w:tcPr>
            <w:tcW w:type="dxa" w:w="21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$50–150M</w:t>
            </w:r>
          </w:p>
        </w:tc>
        <w:tc>
          <w:tcPr>
            <w:tcW w:type="dxa" w:w="15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A83232"/>
                <w:sz w:val="18"/>
                <w:szCs w:val="18"/>
              </w:rPr>
              <w:t xml:space="preserve">0.4–1.2x</w:t>
            </w:r>
          </w:p>
        </w:tc>
        <w:tc>
          <w:tcPr>
            <w:tcW w:type="dxa" w:w="13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val="false"/>
                <w:bCs w:val="false"/>
                <w:i w:val="false"/>
                <w:iCs w:val="false"/>
                <w:color w:val="2A2A3D"/>
                <w:sz w:val="18"/>
                <w:szCs w:val="18"/>
              </w:rPr>
              <w:t xml:space="preserve">Negative</w:t>
            </w:r>
          </w:p>
        </w:tc>
        <w:tc>
          <w:tcPr>
            <w:tcW w:type="dxa" w:w="138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20"/>
                <w:szCs w:val="20"/>
              </w:rPr>
              <w:t xml:space="preserve"/>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333" w:sz="4"/>
              <w:left w:val="none" w:color="FFFFFF" w:sz="0"/>
              <w:bottom w:val="single" w:color="B87333" w:sz="4"/>
              <w:right w:val="none" w:color="FFFFFF" w:sz="0"/>
            </w:tcBorders>
            <w:tcMar>
              <w:top w:type="dxa" w:w="200"/>
              <w:left w:type="dxa" w:w="300"/>
              <w:bottom w:type="dxa" w:w="200"/>
              <w:right w:type="dxa" w:w="300"/>
            </w:tcMar>
          </w:tcPr>
          <w:p>
            <w:pPr>
              <w:spacing w:after="80"/>
              <w:jc w:val="center"/>
            </w:pPr>
            <w:r>
              <w:rPr>
                <w:rFonts w:ascii="Calibri" w:cs="Calibri" w:eastAsia="Calibri" w:hAnsi="Calibri"/>
                <w:b/>
                <w:bCs/>
                <w:color w:val="B87333"/>
                <w:spacing w:val="100"/>
                <w:sz w:val="16"/>
                <w:szCs w:val="16"/>
              </w:rPr>
              <w:t xml:space="preserve">EXPECTED VALUE (PROBABILITY-WEIGHTED)</w:t>
            </w:r>
          </w:p>
          <w:p>
            <w:pPr>
              <w:spacing w:after="40"/>
              <w:jc w:val="center"/>
            </w:pPr>
            <w:r>
              <w:rPr>
                <w:rFonts w:ascii="Calibri Light" w:cs="Calibri Light" w:eastAsia="Calibri Light" w:hAnsi="Calibri Light"/>
                <w:b/>
                <w:bCs/>
                <w:color w:val="0F2240"/>
                <w:sz w:val="40"/>
                <w:szCs w:val="40"/>
              </w:rPr>
              <w:t xml:space="preserve">7–11x Gross MOIC</w:t>
            </w:r>
          </w:p>
          <w:p>
            <w:pPr>
              <w:jc w:val="center"/>
            </w:pPr>
            <w:r>
              <w:rPr>
                <w:rFonts w:ascii="Calibri Light" w:cs="Calibri Light" w:eastAsia="Calibri Light" w:hAnsi="Calibri Light"/>
                <w:color w:val="5A5A72"/>
                <w:sz w:val="20"/>
                <w:szCs w:val="20"/>
              </w:rPr>
              <w:t xml:space="preserve">Exceeds fund-level return threshold of 3–4x  •  Top-decile opportunity</w:t>
            </w:r>
          </w:p>
        </w:tc>
      </w:tr>
    </w:tbl>
    <w:p>
      <w:pPr>
        <w:spacing w:before="200" w:after="0"/>
      </w:pPr>
    </w:p>
    <w:p>
      <w:pPr>
        <w:spacing w:before="240" w:after="140"/>
      </w:pPr>
      <w:r>
        <w:rPr>
          <w:rFonts w:ascii="Calibri Light" w:cs="Calibri Light" w:eastAsia="Calibri Light" w:hAnsi="Calibri Light"/>
          <w:b/>
          <w:bCs/>
          <w:color w:val="0F2240"/>
          <w:spacing w:val="60"/>
          <w:sz w:val="28"/>
          <w:szCs w:val="28"/>
        </w:rPr>
        <w:t xml:space="preserve">CAPITAL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6"/>
                <w:szCs w:val="16"/>
              </w:rPr>
              <w:t xml:space="preserve">TRANCHE</w:t>
            </w:r>
          </w:p>
        </w:tc>
        <w:tc>
          <w:tcPr>
            <w:tcW w:type="dxa" w:w="220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FFFFFF"/>
                <w:sz w:val="16"/>
                <w:szCs w:val="16"/>
              </w:rPr>
              <w:t xml:space="preserve">AMOUNT</w:t>
            </w:r>
          </w:p>
        </w:tc>
        <w:tc>
          <w:tcPr>
            <w:tcW w:type="dxa" w:w="3560"/>
            <w:tcBorders>
              <w:top w:val="none" w:color="FFFFFF" w:sz="0"/>
              <w:left w:val="none" w:color="FFFFFF" w:sz="0"/>
              <w:bottom w:val="none" w:color="FFFFFF" w:sz="0"/>
              <w:right w:val="none" w:color="FFFFFF" w:sz="0"/>
            </w:tcBorders>
            <w:shd w:fill="0F2240"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FFFFFF"/>
                <w:sz w:val="16"/>
                <w:szCs w:val="16"/>
              </w:rPr>
              <w:t xml:space="preserve">PURPOSE</w:t>
            </w:r>
          </w:p>
        </w:tc>
      </w:tr>
      <w:tr>
        <w:tc>
          <w:tcPr>
            <w:tcW w:type="dxa" w:w="36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Initial Positions (3–4 cos)</w:t>
            </w:r>
          </w:p>
        </w:tc>
        <w:tc>
          <w:tcPr>
            <w:tcW w:type="dxa" w:w="2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$50–65M</w:t>
            </w:r>
          </w:p>
        </w:tc>
        <w:tc>
          <w:tcPr>
            <w:tcW w:type="dxa" w:w="356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8"/>
                <w:szCs w:val="18"/>
              </w:rPr>
              <w:t xml:space="preserve">Series A/B lead; board seat</w:t>
            </w:r>
          </w:p>
        </w:tc>
      </w:tr>
      <w:tr>
        <w:tc>
          <w:tcPr>
            <w:tcW w:type="dxa" w:w="36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Follow-on Reserve</w:t>
            </w:r>
          </w:p>
        </w:tc>
        <w:tc>
          <w:tcPr>
            <w:tcW w:type="dxa" w:w="220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$55–70M</w:t>
            </w:r>
          </w:p>
        </w:tc>
        <w:tc>
          <w:tcPr>
            <w:tcW w:type="dxa" w:w="3560"/>
            <w:tcBorders>
              <w:top w:val="single" w:color="D4CFC5" w:sz="1"/>
              <w:left w:val="single" w:color="D4CFC5" w:sz="1"/>
              <w:bottom w:val="single" w:color="D4CFC5" w:sz="1"/>
              <w:right w:val="single" w:color="D4CFC5" w:sz="1"/>
            </w:tcBorders>
            <w:shd w:fill="FFFFFF"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8"/>
                <w:szCs w:val="18"/>
              </w:rPr>
              <w:t xml:space="preserve">Double down on winners</w:t>
            </w:r>
          </w:p>
        </w:tc>
      </w:tr>
      <w:tr>
        <w:tc>
          <w:tcPr>
            <w:tcW w:type="dxa" w:w="36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bCs/>
                <w:i w:val="false"/>
                <w:iCs w:val="false"/>
                <w:color w:val="0F2240"/>
                <w:sz w:val="18"/>
                <w:szCs w:val="18"/>
              </w:rPr>
              <w:t xml:space="preserve">Total (36 months)</w:t>
            </w:r>
          </w:p>
        </w:tc>
        <w:tc>
          <w:tcPr>
            <w:tcW w:type="dxa" w:w="220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center"/>
            </w:pPr>
            <w:r>
              <w:rPr>
                <w:rFonts w:ascii="Calibri" w:cs="Calibri" w:eastAsia="Calibri" w:hAnsi="Calibri"/>
                <w:b/>
                <w:bCs/>
                <w:i w:val="false"/>
                <w:iCs w:val="false"/>
                <w:color w:val="B87333"/>
                <w:sz w:val="18"/>
                <w:szCs w:val="18"/>
              </w:rPr>
              <w:t xml:space="preserve">$105–135M</w:t>
            </w:r>
          </w:p>
        </w:tc>
        <w:tc>
          <w:tcPr>
            <w:tcW w:type="dxa" w:w="3560"/>
            <w:tcBorders>
              <w:top w:val="single" w:color="D4CFC5" w:sz="1"/>
              <w:left w:val="single" w:color="D4CFC5" w:sz="1"/>
              <w:bottom w:val="single" w:color="D4CFC5" w:sz="1"/>
              <w:right w:val="single" w:color="D4CFC5" w:sz="1"/>
            </w:tcBorders>
            <w:shd w:fill="F0EDE8" w:val="clear"/>
            <w:tcMar>
              <w:top w:type="dxa" w:w="80"/>
              <w:left w:type="dxa" w:w="140"/>
              <w:bottom w:type="dxa" w:w="80"/>
              <w:right w:type="dxa" w:w="140"/>
            </w:tcMar>
            <w:vAlign w:val="center"/>
          </w:tcPr>
          <w:p>
            <w:pPr>
              <w:spacing w:before="20" w:after="20"/>
              <w:jc w:val="left"/>
            </w:pPr>
            <w:r>
              <w:rPr>
                <w:rFonts w:ascii="Calibri" w:cs="Calibri" w:eastAsia="Calibri" w:hAnsi="Calibri"/>
                <w:b w:val="false"/>
                <w:bCs w:val="false"/>
                <w:i w:val="false"/>
                <w:iCs w:val="false"/>
                <w:color w:val="2A2A3D"/>
                <w:sz w:val="18"/>
                <w:szCs w:val="18"/>
              </w:rPr>
              <w:t xml:space="preserve">Full thesis deployment</w:t>
            </w:r>
          </w:p>
        </w:tc>
      </w:tr>
    </w:tbl>
    <w:p>
      <w:r>
        <w:br w:type="page"/>
      </w:r>
    </w:p>
    <w:p>
      <w:pPr>
        <w:spacing w:before="360" w:after="200"/>
      </w:pPr>
      <w:r>
        <w:rPr>
          <w:rFonts w:ascii="Calibri Light" w:cs="Calibri Light" w:eastAsia="Calibri Light" w:hAnsi="Calibri Light"/>
          <w:b/>
          <w:bCs/>
          <w:color w:val="0F2240"/>
          <w:spacing w:val="120"/>
          <w:sz w:val="36"/>
          <w:szCs w:val="36"/>
        </w:rPr>
        <w:t xml:space="preserve">THE AUDACIOUS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 w:hRule="exact"/>
        </w:trPr>
        <w:tc>
          <w:tcPr>
            <w:tcW w:type="dxa" w:w="9360"/>
            <w:tcBorders>
              <w:top w:val="none" w:color="FFFFFF" w:sz="0"/>
              <w:left w:val="none" w:color="FFFFFF" w:sz="0"/>
              <w:bottom w:val="single" w:color="D4CFC5" w:sz="2"/>
              <w:right w:val="none" w:color="FFFFFF" w:sz="0"/>
            </w:tcBorders>
          </w:tcPr>
          <w:p/>
        </w:tc>
      </w:tr>
    </w:tbl>
    <w:p>
      <w:pPr>
        <w:spacing w:before="80" w:after="0"/>
      </w:pPr>
    </w:p>
    <w:p>
      <w:pPr>
        <w:spacing w:before="60" w:after="100" w:line="300"/>
        <w:jc w:val="both"/>
      </w:pPr>
      <w:r>
        <w:rPr>
          <w:rFonts w:ascii="Calibri" w:cs="Calibri" w:eastAsia="Calibri" w:hAnsi="Calibri"/>
          <w:b/>
          <w:bCs/>
          <w:i w:val="false"/>
          <w:iCs w:val="false"/>
          <w:color w:val="2A2A3D"/>
          <w:sz w:val="21"/>
          <w:szCs w:val="21"/>
        </w:rPr>
        <w:t xml:space="preserve">By 2030, the three largest de facto SME lenders in Latin America will not be banks. They will be B2B vertical marketplaces — in food supply chain, agricultural inputs, and construction materials — that embedded financial products into their commercial platforms between 2025 and 2027.</w:t>
      </w:r>
    </w:p>
    <w:p>
      <w:pPr>
        <w:spacing w:before="60" w:after="100" w:line="300"/>
        <w:jc w:val="both"/>
      </w:pPr>
      <w:r>
        <w:rPr>
          <w:rFonts w:ascii="Calibri" w:cs="Calibri" w:eastAsia="Calibri" w:hAnsi="Calibri"/>
          <w:b w:val="false"/>
          <w:bCs w:val="false"/>
          <w:i w:val="false"/>
          <w:iCs w:val="false"/>
          <w:color w:val="2A2A3D"/>
          <w:sz w:val="21"/>
          <w:szCs w:val="21"/>
        </w:rPr>
        <w:t xml:space="preserve">These companies will each process $2–8B in annual GMV, originate $500M–$2B in annual credit, and maintain default rates 40–60% below traditional bank SME portfolios — because they will underwrite on real-time commercial behavior, not financial statements.</w:t>
      </w:r>
    </w:p>
    <w:p>
      <w:pPr>
        <w:spacing w:before="60" w:after="100" w:line="300"/>
        <w:jc w:val="both"/>
      </w:pPr>
      <w:r>
        <w:rPr>
          <w:rFonts w:ascii="Calibri" w:cs="Calibri" w:eastAsia="Calibri" w:hAnsi="Calibri"/>
          <w:b w:val="false"/>
          <w:bCs w:val="false"/>
          <w:i w:val="false"/>
          <w:iCs w:val="false"/>
          <w:color w:val="2A2A3D"/>
          <w:sz w:val="21"/>
          <w:szCs w:val="21"/>
        </w:rPr>
        <w:t xml:space="preserve">One or two of these companies will be worth $5–15B. They will be the Nubanks of B2B. And the fund that backed them at Series A will have captured one of the most asymmetric returns in LATAM venture history.</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87333" w:val="clear"/>
          </w:tcPr>
          <w:p/>
        </w:tc>
        <w:tc>
          <w:tcPr>
            <w:tcW w:type="dxa" w:w="9060"/>
            <w:tcBorders>
              <w:top w:val="none" w:color="FFFFFF" w:sz="0"/>
              <w:left w:val="none" w:color="FFFFFF" w:sz="0"/>
              <w:bottom w:val="none" w:color="FFFFFF" w:sz="0"/>
              <w:right w:val="none" w:color="FFFFFF" w:sz="0"/>
            </w:tcBorders>
            <w:shd w:fill="F5E8D8" w:val="clear"/>
            <w:tcMar>
              <w:top w:type="dxa" w:w="160"/>
              <w:left w:type="dxa" w:w="240"/>
              <w:bottom w:type="dxa" w:w="160"/>
              <w:right w:type="dxa" w:w="240"/>
            </w:tcMar>
          </w:tcPr>
          <w:p>
            <w:r>
              <w:rPr>
                <w:rFonts w:ascii="Calibri Light" w:cs="Calibri Light" w:eastAsia="Calibri Light" w:hAnsi="Calibri Light"/>
                <w:i/>
                <w:iCs/>
                <w:color w:val="0F2240"/>
                <w:sz w:val="22"/>
                <w:szCs w:val="22"/>
              </w:rPr>
              <w:t xml:space="preserve">In Latin America, every decade produces one financial infrastructure shift that creates $50B+ in enterprise value. The 2010s were consumer digital payments. The 2020s will be embedded B2B finance. The question is not whether to invest. The question is whether we invest early enough to matter.</w:t>
            </w:r>
          </w:p>
        </w:tc>
      </w:tr>
    </w:tbl>
    <w:p>
      <w:pPr>
        <w:spacing w:before="300" w:after="0"/>
      </w:pPr>
    </w:p>
    <w:p>
      <w:pPr>
        <w:jc w:val="center"/>
      </w:pPr>
      <w:r>
        <w:rPr>
          <w:rFonts w:ascii="Calibri" w:cs="Calibri" w:eastAsia="Calibri" w:hAnsi="Calibri"/>
          <w:b/>
          <w:bCs/>
          <w:color w:val="5A5A72"/>
          <w:sz w:val="16"/>
          <w:szCs w:val="16"/>
        </w:rPr>
        <w:t xml:space="preserve">CLASSIFICATION: </w:t>
      </w:r>
      <w:r>
        <w:rPr>
          <w:rFonts w:ascii="Calibri" w:cs="Calibri" w:eastAsia="Calibri" w:hAnsi="Calibri"/>
          <w:color w:val="5A5A72"/>
          <w:sz w:val="16"/>
          <w:szCs w:val="16"/>
        </w:rPr>
        <w:t xml:space="preserve">Confidential — Investment Committee Only</w:t>
      </w:r>
    </w:p>
    <w:p>
      <w:pPr>
        <w:spacing w:before="40"/>
        <w:jc w:val="center"/>
      </w:pPr>
      <w:r>
        <w:rPr>
          <w:rFonts w:ascii="Calibri" w:cs="Calibri" w:eastAsia="Calibri" w:hAnsi="Calibri"/>
          <w:b/>
          <w:bCs/>
          <w:color w:val="B87333"/>
          <w:sz w:val="16"/>
          <w:szCs w:val="16"/>
        </w:rPr>
        <w:t xml:space="preserve">RECOMMENDATION: </w:t>
      </w:r>
      <w:r>
        <w:rPr>
          <w:rFonts w:ascii="Calibri" w:cs="Calibri" w:eastAsia="Calibri" w:hAnsi="Calibri"/>
          <w:color w:val="5A5A72"/>
          <w:sz w:val="16"/>
          <w:szCs w:val="16"/>
        </w:rPr>
        <w:t xml:space="preserve">Proceed to Deep Diligence on Shortlisted Targets</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D4CFC5"/>
        <w:spacing w:val="60"/>
        <w:sz w:val="14"/>
        <w:szCs w:val="14"/>
      </w:rPr>
      <w:t xml:space="preserve">CONFIDENTIAL — INVESTMENT COMMITTEE ONLY</w:t>
    </w:r>
    <w:r>
      <w:rPr>
        <w:color w:val="D4CFC5"/>
        <w:sz w:val="14"/>
        <w:szCs w:val="14"/>
      </w:rPr>
      <w:t xml:space="preserve">  |  </w:t>
    </w:r>
    <w:r>
      <w:rPr>
        <w:rFonts w:ascii="Calibri" w:cs="Calibri" w:eastAsia="Calibri" w:hAnsi="Calibri"/>
        <w:color w:val="5A5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B87333" w:sz="2"/>
            <w:right w:val="none" w:color="FFFFFF" w:sz="0"/>
          </w:tcBorders>
        </w:tcPr>
        <w:p>
          <w:r>
            <w:rPr>
              <w:rFonts w:ascii="Calibri" w:cs="Calibri" w:eastAsia="Calibri" w:hAnsi="Calibri"/>
              <w:b/>
              <w:bCs/>
              <w:color w:val="0F2240"/>
              <w:spacing w:val="80"/>
              <w:sz w:val="14"/>
              <w:szCs w:val="14"/>
            </w:rPr>
            <w:t xml:space="preserve">INVESTMENT MEMO</w:t>
          </w:r>
        </w:p>
      </w:tc>
      <w:tc>
        <w:tcPr>
          <w:tcW w:type="dxa" w:w="4680"/>
          <w:tcBorders>
            <w:top w:val="none" w:color="FFFFFF" w:sz="0"/>
            <w:left w:val="none" w:color="FFFFFF" w:sz="0"/>
            <w:bottom w:val="single" w:color="B87333" w:sz="2"/>
            <w:right w:val="none" w:color="FFFFFF" w:sz="0"/>
          </w:tcBorders>
        </w:tcPr>
        <w:p>
          <w:pPr>
            <w:jc w:val="right"/>
          </w:pPr>
          <w:r>
            <w:rPr>
              <w:rFonts w:ascii="Calibri" w:cs="Calibri" w:eastAsia="Calibri" w:hAnsi="Calibri"/>
              <w:b/>
              <w:bCs/>
              <w:color w:val="A83232"/>
              <w:spacing w:val="80"/>
              <w:sz w:val="14"/>
              <w:szCs w:val="14"/>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2026-02-08T23:17:09.367Z</dcterms:created>
  <dcterms:modified xsi:type="dcterms:W3CDTF">2026-02-08T23:17:09.368Z</dcterms:modified>
</cp:coreProperties>
</file>

<file path=docProps/custom.xml><?xml version="1.0" encoding="utf-8"?>
<Properties xmlns="http://schemas.openxmlformats.org/officeDocument/2006/custom-properties" xmlns:vt="http://schemas.openxmlformats.org/officeDocument/2006/docPropsVTypes"/>
</file>