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2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/>
        </w:tc>
      </w:tr>
    </w:tbl>
    <w:p>
      <w:pPr>
        <w:spacing w:before="1800" w:after="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563EB"/>
          <w:spacing w:val="200"/>
          <w:sz w:val="18"/>
          <w:szCs w:val="18"/>
        </w:rPr>
        <w:t xml:space="preserve">PORTFOLIO | LEGALTECH CASE STUDY</w:t>
      </w:r>
    </w:p>
    <w:p>
      <w:pPr>
        <w:spacing w:after="40"/>
        <w:ind w:left="1440" w:right="1440"/>
        <w:jc w:val="center"/>
      </w:pPr>
      <w:r>
        <w:rPr>
          <w:rFonts w:ascii="Calibri Light" w:cs="Calibri Light" w:eastAsia="Calibri Light" w:hAnsi="Calibri Light"/>
          <w:color w:val="1A1A2E"/>
          <w:spacing w:val="80"/>
          <w:sz w:val="72"/>
          <w:szCs w:val="72"/>
        </w:rPr>
        <w:t xml:space="preserve">AUTOMATING</w:t>
      </w:r>
    </w:p>
    <w:p>
      <w:pPr>
        <w:spacing w:after="200"/>
        <w:ind w:left="1440" w:right="1440"/>
        <w:jc w:val="center"/>
      </w:pPr>
      <w:r>
        <w:rPr>
          <w:rFonts w:ascii="Calibri Light" w:cs="Calibri Light" w:eastAsia="Calibri Light" w:hAnsi="Calibri Light"/>
          <w:color w:val="1A1A2E"/>
          <w:spacing w:val="80"/>
          <w:sz w:val="72"/>
          <w:szCs w:val="72"/>
        </w:rPr>
        <w:t xml:space="preserve">DUE DILIGENCE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3000"/>
        <w:gridCol w:w="4620"/>
      </w:tblGrid>
      <w:tr>
        <w:trPr>
          <w:trHeight w:val="60" w:hRule="exact"/>
        </w:trP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</w:tcPr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200" w:after="0"/>
      </w:pPr>
    </w:p>
    <w:p>
      <w:pPr>
        <w:spacing w:after="80"/>
        <w:ind w:left="2160" w:right="2160"/>
        <w:jc w:val="center"/>
      </w:pPr>
      <w:r>
        <w:rPr>
          <w:rFonts w:ascii="Calibri Light" w:cs="Calibri Light" w:eastAsia="Calibri Light" w:hAnsi="Calibri Light"/>
          <w:i/>
          <w:iCs/>
          <w:color w:val="6B7280"/>
          <w:sz w:val="24"/>
          <w:szCs w:val="24"/>
        </w:rPr>
        <w:t xml:space="preserve">A 40%+ Efficiency Gain Model for AI-Augmented Contract Review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Mid-Sized Law Firms | M&amp;A Due Diligence | LLM Integration</w:t>
      </w:r>
    </w:p>
    <w:p>
      <w:pPr>
        <w:spacing w:before="1400" w:after="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80"/>
                <w:sz w:val="11"/>
                <w:szCs w:val="11"/>
              </w:rPr>
              <w:t xml:space="preserve">TIME REDUCTION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62.5%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5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80"/>
                <w:sz w:val="11"/>
                <w:szCs w:val="11"/>
              </w:rPr>
              <w:t xml:space="preserve">COST SAVINGS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$3.75M/yr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11"/>
                <w:szCs w:val="11"/>
              </w:rPr>
              <w:t xml:space="preserve">MARGIN LIFT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13% → 78%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11"/>
                <w:szCs w:val="11"/>
              </w:rPr>
              <w:t xml:space="preserve">PAYBACK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&lt; 2 Weeks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8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/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360" w:after="200"/>
      </w:pPr>
      <w:r>
        <w:rPr>
          <w:rFonts w:ascii="Calibri Light" w:cs="Calibri Light" w:eastAsia="Calibri Light" w:hAnsi="Calibri Light"/>
          <w:b/>
          <w:bCs/>
          <w:color w:val="1A1A2E"/>
          <w:spacing w:val="120"/>
          <w:sz w:val="36"/>
          <w:szCs w:val="36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</w:tcPr>
          <w:p/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/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 Light" w:cs="Calibri Light" w:eastAsia="Calibri Light" w:hAnsi="Calibri Light"/>
                <w:i/>
                <w:iCs/>
                <w:color w:val="1A1A2E"/>
                <w:sz w:val="22"/>
                <w:szCs w:val="22"/>
              </w:rPr>
              <w:t xml:space="preserve">The question is no longer whether AI will transform legal practice. The question is whether your firm will be deploying it — or losing clients to firms that did.</w:t>
            </w:r>
          </w:p>
        </w:tc>
      </w:tr>
    </w:tbl>
    <w:p>
      <w:pPr>
        <w:spacing w:before="100" w:after="0"/>
      </w:pPr>
    </w:p>
    <w:p>
      <w:pPr>
        <w:spacing w:before="60" w:after="1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3D"/>
          <w:sz w:val="21"/>
          <w:szCs w:val="21"/>
        </w:rPr>
        <w:t xml:space="preserve">Contract review — the foundational activity of due diligence — remains a predominantly manual, document-by-document, clause-by-clause human endeavor. A single mid-market M&amp;A transaction may involve 200–800 contracts, each requiring 2–6 hours of attorney time. The process consumes 60–75% of total due diligence hours.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PAIN POINT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Full DD contract review (~400 contracts)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1,200–1,800 attorney hours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Cost per engagement (blended $185/hr)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$222K–$333K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Inter-reviewer inconsistency rate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8–15% variance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Associate overtime during DD sprints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65–80 hour weeks, 3–6 weeks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Annual DD fee compression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-5 to -12% YoY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Revenue leakage (write-offs)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12–22% of billed hours</w:t>
            </w:r>
          </w:p>
        </w:tc>
      </w:tr>
    </w:tbl>
    <w:p>
      <w:pPr>
        <w:spacing w:before="200" w:after="0"/>
      </w:pPr>
    </w:p>
    <w:p>
      <w:pPr>
        <w:spacing w:before="240" w:after="140"/>
      </w:pPr>
      <w:r>
        <w:rPr>
          <w:rFonts w:ascii="Calibri Light" w:cs="Calibri Light" w:eastAsia="Calibri Light" w:hAnsi="Calibri Light"/>
          <w:b/>
          <w:bCs/>
          <w:color w:val="1A1A2E"/>
          <w:spacing w:val="60"/>
          <w:sz w:val="28"/>
          <w:szCs w:val="28"/>
        </w:rPr>
        <w:t xml:space="preserve">THE CONVERGENCE: WHY NOW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2563EB"/>
                <w:sz w:val="36"/>
                <w:szCs w:val="36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LLM Capability Threshold Crossed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2A2A3D"/>
                <w:sz w:val="18"/>
                <w:szCs w:val="18"/>
              </w:rPr>
              <w:t xml:space="preserve">GPT-4-class models comprehend contract clauses without task-specific training, identify risk patterns across heterogeneous contract types, generate attorney-ready structured outputs, and operate multilingually.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2563EB"/>
                <w:sz w:val="36"/>
                <w:szCs w:val="36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Client Economics Demand It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2A2A3D"/>
                <w:sz w:val="18"/>
                <w:szCs w:val="18"/>
              </w:rPr>
              <w:t xml:space="preserve">48% of DD engagements now under fixed-fee arrangements (vs. 22% in 2020). 41% of client RFPs now request "technology-augmented DD." Acceptable timelines compressed from 6–8 weeks to 3–5.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2563EB"/>
                <w:sz w:val="36"/>
                <w:szCs w:val="36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Talent Economics Require It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2A2A3D"/>
                <w:sz w:val="18"/>
                <w:szCs w:val="18"/>
              </w:rPr>
              <w:t xml:space="preserve">25–38% annual attrition for junior associates. "Repetitive, low-value work" is the primary exit driver. Automation shifts associates from extraction to evaluation — creating better lawyers, faster.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Calibri Light" w:cs="Calibri Light" w:eastAsia="Calibri Light" w:hAnsi="Calibri Light"/>
          <w:b/>
          <w:bCs/>
          <w:color w:val="1A1A2E"/>
          <w:spacing w:val="120"/>
          <w:sz w:val="36"/>
          <w:szCs w:val="36"/>
        </w:rPr>
        <w:t xml:space="preserve">EFFICIENCY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</w:tcPr>
          <w:p/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2563EB"/>
                <w:sz w:val="48"/>
                <w:szCs w:val="48"/>
              </w:rPr>
              <w:t xml:space="preserve">62.5%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40"/>
                <w:sz w:val="18"/>
                <w:szCs w:val="18"/>
              </w:rPr>
              <w:t xml:space="preserve">PER-CONTRACT SAVINGS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4.0h → 1.5h per contract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2563EB"/>
                <w:sz w:val="48"/>
                <w:szCs w:val="48"/>
              </w:rPr>
              <w:t xml:space="preserve">80%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40"/>
                <w:sz w:val="18"/>
                <w:szCs w:val="18"/>
              </w:rPr>
              <w:t xml:space="preserve">ENGAGEMENT-LEVEL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1,500h → 300h total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2563EB"/>
                <w:sz w:val="48"/>
                <w:szCs w:val="48"/>
              </w:rPr>
              <w:t xml:space="preserve">+10.5%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40"/>
                <w:sz w:val="18"/>
                <w:szCs w:val="18"/>
              </w:rPr>
              <w:t xml:space="preserve">QUALITY IMPROVEMENT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Inter-reviewer consistency</w:t>
            </w:r>
          </w:p>
        </w:tc>
      </w:tr>
    </w:tbl>
    <w:p>
      <w:pPr>
        <w:spacing w:before="120" w:after="0"/>
      </w:pPr>
    </w:p>
    <w:p>
      <w:pPr>
        <w:spacing w:before="240" w:after="140"/>
      </w:pPr>
      <w:r>
        <w:rPr>
          <w:rFonts w:ascii="Calibri Light" w:cs="Calibri Light" w:eastAsia="Calibri Light" w:hAnsi="Calibri Light"/>
          <w:b/>
          <w:bCs/>
          <w:color w:val="1A1A2E"/>
          <w:spacing w:val="60"/>
          <w:sz w:val="28"/>
          <w:szCs w:val="28"/>
        </w:rPr>
        <w:t xml:space="preserve">PER-CONTRACT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66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ACTIVITY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MANUAL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AI-AUGMENTED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CHANGE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AI ROLE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Extraction &amp; classification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2.80h (70%)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0.15h (10%)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-94.6%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Full automation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Risk identification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0.70h (18%)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0.10h (7%)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-85.7%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AI-flagged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Judgment &amp; analysis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0.30h (8%)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0.85h (57%)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+183.3%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Human-led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0.20h (5%)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0.05h (3%)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-75.0%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AI output validation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N/A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0.35h (23%)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Human QA</w:t>
            </w:r>
          </w:p>
        </w:tc>
      </w:tr>
    </w:tbl>
    <w:p>
      <w:pPr>
        <w:spacing w:before="200" w:after="0"/>
      </w:pPr>
    </w:p>
    <w:p>
      <w:pPr>
        <w:spacing w:before="240" w:after="140"/>
      </w:pPr>
      <w:r>
        <w:rPr>
          <w:rFonts w:ascii="Calibri Light" w:cs="Calibri Light" w:eastAsia="Calibri Light" w:hAnsi="Calibri Light"/>
          <w:b/>
          <w:bCs/>
          <w:color w:val="1A1A2E"/>
          <w:spacing w:val="60"/>
          <w:sz w:val="28"/>
          <w:szCs w:val="28"/>
        </w:rPr>
        <w:t xml:space="preserve">FULL ENGAGEMENT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MANUAL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AI-AUGMENTED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Total attorney hours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1,500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-80%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Calendar time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6 weeks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2.5 weeks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-58%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Team size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8 atty + 2 para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4 atty + 1 tech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-50%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Total engagement cost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$277,500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$66,200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-76%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Client billing (fixed-fee)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$320,000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$320,000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13.3%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79.3%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+66pp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Realization rate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82%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98%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+16pp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Calibri Light" w:cs="Calibri Light" w:eastAsia="Calibri Light" w:hAnsi="Calibri Light"/>
          <w:b/>
          <w:bCs/>
          <w:color w:val="1A1A2E"/>
          <w:spacing w:val="120"/>
          <w:sz w:val="36"/>
          <w:szCs w:val="36"/>
        </w:rPr>
        <w:t xml:space="preserve">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</w:tcPr>
          <w:p/>
        </w:tc>
      </w:tr>
    </w:tbl>
    <w:p>
      <w:pPr>
        <w:spacing w:before="80" w:after="0"/>
      </w:pPr>
    </w:p>
    <w:p>
      <w:pPr>
        <w:spacing w:before="60" w:after="1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3D"/>
          <w:sz w:val="21"/>
          <w:szCs w:val="21"/>
        </w:rPr>
        <w:t xml:space="preserve">The AI does not simply receive a contract and produce a summary. It processes each document through a sequenced chain of 7 specialized prompts, each designed for a specific analytical task, with built-in verification steps.</w:t>
      </w:r>
    </w:p>
    <w:p>
      <w:pPr>
        <w:spacing w:before="80" w:after="0"/>
      </w:pPr>
    </w:p>
    <w:p>
      <w:pPr>
        <w:spacing w:before="240" w:after="140"/>
      </w:pPr>
      <w:r>
        <w:rPr>
          <w:rFonts w:ascii="Calibri Light" w:cs="Calibri Light" w:eastAsia="Calibri Light" w:hAnsi="Calibri Light"/>
          <w:b/>
          <w:bCs/>
          <w:color w:val="1A1A2E"/>
          <w:spacing w:val="60"/>
          <w:sz w:val="28"/>
          <w:szCs w:val="28"/>
        </w:rPr>
        <w:t xml:space="preserve">THE 7-LINK PROMPT CHAIN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A2A3D"/>
                <w:sz w:val="17"/>
                <w:szCs w:val="17"/>
              </w:rPr>
              <w:t xml:space="preserve">Contract type, jurisdiction, governing law, language, parties. JSON output with confidence scoring.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KEY TERM EXTRACTION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A2A3D"/>
                <w:sz w:val="17"/>
                <w:szCs w:val="17"/>
              </w:rPr>
              <w:t xml:space="preserve">Dates, values, payment terms, termination provisions, assignment clauses. Verbatim source citations required.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RISK CLAUSE IDENTIFICATION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A2A3D"/>
                <w:sz w:val="17"/>
                <w:szCs w:val="17"/>
              </w:rPr>
              <w:t xml:space="preserve">Change of control, non-compete, uncapped liability, MFN clauses, IP ambiguities. Severity scoring 1–5.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ANOMALY DETECTION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A2A3D"/>
                <w:sz w:val="17"/>
                <w:szCs w:val="17"/>
              </w:rPr>
              <w:t xml:space="preserve">Deviations from market norms, internal inconsistencies, ambiguous language, missing standard provisions.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CROSS-REFERENCE CHECK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A2A3D"/>
                <w:sz w:val="17"/>
                <w:szCs w:val="17"/>
              </w:rPr>
              <w:t xml:space="preserve">Conflicting terms across contracts, overlapping obligations, cascading termination risks, aggregate exposure.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SUMMARY GENERATION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A2A3D"/>
                <w:sz w:val="17"/>
                <w:szCs w:val="17"/>
              </w:rPr>
              <w:t xml:space="preserve">250-word executive summary: parties, purpose, key terms, material risks, recommended actions.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6"/>
                <w:szCs w:val="16"/>
              </w:rPr>
              <w:t xml:space="preserve">SELF-VERIFICATION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A2A3D"/>
                <w:sz w:val="17"/>
                <w:szCs w:val="17"/>
              </w:rPr>
              <w:t xml:space="preserve">Anti-hallucination layer. Every claim verified against source text. Unverified claims flagged, scored 0, routed to human review.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Calibri Light" w:cs="Calibri Light" w:eastAsia="Calibri Light" w:hAnsi="Calibri Light"/>
          <w:b/>
          <w:bCs/>
          <w:color w:val="1A1A2E"/>
          <w:spacing w:val="120"/>
          <w:sz w:val="36"/>
          <w:szCs w:val="36"/>
        </w:rPr>
        <w:t xml:space="preserve">HALLUCINATION DEFENSE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</w:tcPr>
          <w:p/>
        </w:tc>
      </w:tr>
    </w:tbl>
    <w:p>
      <w:pPr>
        <w:spacing w:before="80" w:after="0"/>
      </w:pPr>
    </w:p>
    <w:p>
      <w:pPr>
        <w:spacing w:before="60" w:after="1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3D"/>
          <w:sz w:val="21"/>
          <w:szCs w:val="21"/>
        </w:rPr>
        <w:t xml:space="preserve">The base hallucination rate for GPT-4-class models on legal text is 3–8%. Our target: reduce undetected hallucination to &lt;0.5% through a five-layer defense system.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66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DEFENSE LAYER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REDUCTION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CUMULATIVE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MECHANISM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Baseline (no mitigation)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—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3–8%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L1: Prompt Engineering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Prevention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-50–65%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1.5–3.5%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6"/>
                <w:szCs w:val="16"/>
              </w:rPr>
              <w:t xml:space="preserve">Uncertainty permission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L2: Source Citation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Detection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-40–55%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0.8–1.8%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6"/>
                <w:szCs w:val="16"/>
              </w:rPr>
              <w:t xml:space="preserve">Verbatim quote mandate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L3: Self-Verification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Detection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-30–45%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0.4–1.0%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6"/>
                <w:szCs w:val="16"/>
              </w:rPr>
              <w:t xml:space="preserve">Link 7 audit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L4: Confidence Triage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Routing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-50–70%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0.15–0.4%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6"/>
                <w:szCs w:val="16"/>
              </w:rPr>
              <w:t xml:space="preserve">Score-based routing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7"/>
                <w:szCs w:val="17"/>
              </w:rPr>
              <w:t xml:space="preserve">L5: Human Validation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7"/>
                <w:szCs w:val="17"/>
              </w:rPr>
              <w:t xml:space="preserve">Correction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-70–85%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&lt;0.1%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6"/>
                <w:szCs w:val="16"/>
              </w:rPr>
              <w:t xml:space="preserve">Attorney review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none" w:color="FFFFFF" w:sz="0"/>
              <w:bottom w:val="single" w:color="059669" w:sz="4"/>
              <w:right w:val="none" w:color="FFFFFF" w:sz="0"/>
            </w:tcBorders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pacing w:val="100"/>
                <w:sz w:val="16"/>
                <w:szCs w:val="16"/>
              </w:rPr>
              <w:t xml:space="preserve">CRITICAL FINDING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color w:val="2A2A3D"/>
                <w:sz w:val="22"/>
                <w:szCs w:val="22"/>
              </w:rPr>
              <w:t xml:space="preserve">The AI-augmented process is not just faster — it is </w:t>
            </w: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measurably more accurate</w:t>
            </w:r>
            <w:r>
              <w:rPr>
                <w:rFonts w:ascii="Calibri Light" w:cs="Calibri Light" w:eastAsia="Calibri Light" w:hAnsi="Calibri Light"/>
                <w:color w:val="2A2A3D"/>
                <w:sz w:val="22"/>
                <w:szCs w:val="22"/>
              </w:rPr>
              <w:t xml:space="preserve"> than the fully manual process it replaces.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Manual error rate: 8–15%  |  AI-augmented undetected error: &lt;0.1%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Calibri Light" w:cs="Calibri Light" w:eastAsia="Calibri Light" w:hAnsi="Calibri Light"/>
          <w:b/>
          <w:bCs/>
          <w:color w:val="1A1A2E"/>
          <w:spacing w:val="120"/>
          <w:sz w:val="36"/>
          <w:szCs w:val="36"/>
        </w:rPr>
        <w:t xml:space="preserve">IMPLEMENTATION &amp;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</w:tcPr>
          <w:p/>
        </w:tc>
      </w:tr>
    </w:tbl>
    <w:p>
      <w:pPr>
        <w:spacing w:before="80" w:after="0"/>
      </w:pPr>
    </w:p>
    <w:p>
      <w:pPr>
        <w:spacing w:before="240" w:after="140"/>
      </w:pPr>
      <w:r>
        <w:rPr>
          <w:rFonts w:ascii="Calibri Light" w:cs="Calibri Light" w:eastAsia="Calibri Light" w:hAnsi="Calibri Light"/>
          <w:b/>
          <w:bCs/>
          <w:color w:val="1A1A2E"/>
          <w:spacing w:val="60"/>
          <w:sz w:val="28"/>
          <w:szCs w:val="28"/>
        </w:rPr>
        <w:t xml:space="preserve">16-WEEK DEPLOYMENT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3260"/>
        <w:gridCol w:w="2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WEEKS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KEY ACTIVITIES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INVESTMENT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1–2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Assessment &amp; Scoping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Audit workflow, inventory contract types, evaluate tech infrastructure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$8K–$15K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3–5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Platform Setup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Select LLM provider, configure prompts, security review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$25K–$50K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6–9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Pilot Program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Shadow mode on live engagement, benchmark accuracy vs. manual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$12K–$20K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10–12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Calibration &amp; Training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Refine prompts, 2-day intensive attorney training, QA protocols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$15K–$25K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13–14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Controlled Launch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2–3 live engagements with enhanced QA oversight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15–16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Full Deployment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7"/>
                <w:szCs w:val="17"/>
              </w:rPr>
              <w:t xml:space="preserve">All new DD engagements on AI-augmented workflow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Operational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pacing w:val="80"/>
                <w:sz w:val="14"/>
                <w:szCs w:val="14"/>
              </w:rPr>
              <w:t xml:space="preserve">TOTAL IMPLEMENTATION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1A1A2E"/>
                <w:sz w:val="44"/>
                <w:szCs w:val="44"/>
              </w:rPr>
              <w:t xml:space="preserve">$60K–$110K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Ongoing: $85K–$140K/year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80"/>
                <w:sz w:val="14"/>
                <w:szCs w:val="14"/>
              </w:rPr>
              <w:t xml:space="preserve">ANNUAL SAVINGS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4"/>
                <w:szCs w:val="44"/>
              </w:rPr>
              <w:t xml:space="preserve">$3.75M</w:t>
            </w:r>
          </w:p>
          <w:p>
            <w:pPr>
              <w:spacing w:before="40"/>
              <w:jc w:val="center"/>
            </w:pPr>
            <w:r>
              <w:rPr>
                <w:rFonts w:ascii="Calibri Light" w:cs="Calibri Light" w:eastAsia="Calibri Light" w:hAnsi="Calibri Light"/>
                <w:color w:val="90B0D0"/>
                <w:sz w:val="16"/>
                <w:szCs w:val="16"/>
              </w:rPr>
              <w:t xml:space="preserve">Payback: &lt; 9 days (base case)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Calibri Light" w:cs="Calibri Light" w:eastAsia="Calibri Light" w:hAnsi="Calibri Light"/>
          <w:b/>
          <w:bCs/>
          <w:color w:val="1A1A2E"/>
          <w:spacing w:val="120"/>
          <w:sz w:val="36"/>
          <w:szCs w:val="36"/>
        </w:rPr>
        <w:t xml:space="preserve">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</w:tcPr>
          <w:p/>
        </w:tc>
      </w:tr>
    </w:tbl>
    <w:p>
      <w:pPr>
        <w:spacing w:before="80" w:after="0"/>
      </w:pPr>
    </w:p>
    <w:p>
      <w:pPr>
        <w:spacing w:before="60" w:after="1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3D"/>
          <w:sz w:val="21"/>
          <w:szCs w:val="21"/>
        </w:rPr>
        <w:t xml:space="preserve">The firms that deploy this capability in 2025 will enter 2026 with structurally lower costs, structurally higher margins, demonstrably better work product, and a compelling answer to every client RFP that asks: "What technology do you use?"</w:t>
      </w:r>
    </w:p>
    <w:p>
      <w:pPr>
        <w:spacing w:before="60" w:after="1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A3D"/>
          <w:sz w:val="21"/>
          <w:szCs w:val="21"/>
        </w:rPr>
        <w:t xml:space="preserve">The firms that wait will enter 2026 explaining why they don't.</w:t>
      </w:r>
    </w:p>
    <w:p>
      <w:pPr>
        <w:spacing w:before="120" w:after="0"/>
      </w:pPr>
    </w:p>
    <w:p>
      <w:pPr>
        <w:spacing w:before="240" w:after="140"/>
      </w:pPr>
      <w:r>
        <w:rPr>
          <w:rFonts w:ascii="Calibri Light" w:cs="Calibri Light" w:eastAsia="Calibri Light" w:hAnsi="Calibri Light"/>
          <w:b/>
          <w:bCs/>
          <w:color w:val="1A1A2E"/>
          <w:spacing w:val="60"/>
          <w:sz w:val="28"/>
          <w:szCs w:val="28"/>
        </w:rPr>
        <w:t xml:space="preserve">EFFICIENCY GAIN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SCENARIO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TIME SAVED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SAVED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MARGIN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CONDITIONS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40%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35%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31%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 doc quality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Base 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62.5%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76%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78%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Standard quality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2A3D"/>
                <w:sz w:val="18"/>
                <w:szCs w:val="18"/>
              </w:rPr>
              <w:t xml:space="preserve">Optimistic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78%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2A3D"/>
                <w:sz w:val="18"/>
                <w:szCs w:val="18"/>
              </w:rPr>
              <w:t xml:space="preserve">84%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85%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Digital-native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/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 Light" w:cs="Calibri Light" w:eastAsia="Calibri Light" w:hAnsi="Calibri Light"/>
                <w:i/>
                <w:iCs/>
                <w:color w:val="1A1A2E"/>
                <w:sz w:val="22"/>
                <w:szCs w:val="22"/>
              </w:rPr>
              <w:t xml:space="preserve">The best lawyers have always used the best tools available to them. The LLM will not replace the lawyer — but the lawyer who uses it will replace the lawyer who doesn't.</w:t>
            </w:r>
          </w:p>
        </w:tc>
      </w:tr>
    </w:tbl>
    <w:p>
      <w:pPr>
        <w:spacing w:before="300" w:after="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B7280"/>
          <w:sz w:val="16"/>
          <w:szCs w:val="16"/>
        </w:rPr>
        <w:t xml:space="preserve">CLASSIFICATION: 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Strategic Advisory — Executive Distribution</w:t>
      </w:r>
    </w:p>
    <w:p>
      <w:pPr>
        <w:spacing w:before="40"/>
        <w:jc w:val="center"/>
      </w:pPr>
      <w:r>
        <w:rPr>
          <w:rFonts w:ascii="Calibri" w:cs="Calibri" w:eastAsia="Calibri" w:hAnsi="Calibri"/>
          <w:b/>
          <w:bCs/>
          <w:color w:val="6B7280"/>
          <w:sz w:val="16"/>
          <w:szCs w:val="16"/>
        </w:rPr>
        <w:t xml:space="preserve">NEXT STEP: 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2-Week Assessment &amp; Scoping Engagement</w:t>
      </w:r>
    </w:p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D1D5DB"/>
        <w:spacing w:val="80"/>
        <w:sz w:val="14"/>
        <w:szCs w:val="14"/>
      </w:rPr>
      <w:t xml:space="preserve">STRATEGIC ADVISORY</w:t>
    </w:r>
    <w:r>
      <w:rPr>
        <w:color w:val="D1D5DB"/>
        <w:sz w:val="14"/>
        <w:szCs w:val="14"/>
      </w:rPr>
      <w:t xml:space="preserve">  | 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single" w:color="2563EB" w:sz="2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1A1A2E"/>
              <w:spacing w:val="80"/>
              <w:sz w:val="14"/>
              <w:szCs w:val="14"/>
            </w:rPr>
            <w:t xml:space="preserve">AUTOMATING DUE DILIGENCE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single" w:color="2563EB" w:sz="2"/>
            <w:right w:val="none" w:color="FFFFFF" w:sz="0"/>
          </w:tcBorders>
        </w:tcPr>
        <w:p>
          <w:pPr>
            <w:jc w:val="right"/>
          </w:pPr>
          <w:r>
            <w:rPr>
              <w:rFonts w:ascii="Calibri Light" w:cs="Calibri Light" w:eastAsia="Calibri Light" w:hAnsi="Calibri Light"/>
              <w:i/>
              <w:iCs/>
              <w:color w:val="6B7280"/>
              <w:sz w:val="14"/>
              <w:szCs w:val="14"/>
            </w:rPr>
            <w:t xml:space="preserve">LegalTech Case Study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2026-02-08T23:19:49.230Z</dcterms:created>
  <dcterms:modified xsi:type="dcterms:W3CDTF">2026-02-08T23:19:49.231Z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