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A3F"/>
          <w:sz w:val="30"/>
          <w:szCs w:val="30"/>
        </w:rPr>
        <w:t xml:space="preserve">Concept Note</w:t>
      </w:r>
    </w:p>
    <w:p>
      <w:pPr>
        <w:spacing w:after="60"/>
        <w:jc w:val="center"/>
      </w:pPr>
      <w:r>
        <w:rPr>
          <w:b/>
          <w:bCs/>
          <w:sz w:val="24"/>
          <w:szCs w:val="24"/>
        </w:rPr>
        <w:t xml:space="preserve">Deep Learning and Foundation-Model Tree Crown Extraction in an Open Cross Timbers Savanna: LBJ National Grassland, Texas</w:t>
      </w:r>
    </w:p>
    <w:p>
      <w:pPr>
        <w:spacing w:after="200"/>
        <w:jc w:val="center"/>
      </w:pPr>
      <w:r>
        <w:rPr>
          <w:i/>
          <w:iCs/>
          <w:color w:val="555555"/>
          <w:sz w:val="19"/>
          <w:szCs w:val="19"/>
        </w:rPr>
        <w:t xml:space="preserve">Sudipta Poudel · Prepared for Dr. Pinliang Dong · October 2026 · Draft</w:t>
      </w:r>
    </w:p>
    <w:p>
      <w:pPr>
        <w:pStyle w:val="Heading2"/>
        <w:spacing w:after="90" w:before="200"/>
      </w:pPr>
      <w:r>
        <w:t xml:space="preserve">1. What I Will Do</w:t>
      </w:r>
    </w:p>
    <w:p>
      <w:pPr>
        <w:spacing w:after="110" w:line="276"/>
      </w:pPr>
      <w:r>
        <w:t xml:space="preserve">I will test how well modern AI methods — the deep learning detector DeepForest and the foundation model Segment Anything (SAM) — can find and outline individual tree crowns in an open savanna, where trees are scattered among grass. I will use free NEON airborne data (10 cm RGB, LiDAR and hyperspectral) and NEON field-measured trees at LBJ National Grassland, and I will test whether adding LiDAR canopy height makes SAM more accurate. The resulting tree maps will also separate oaks from eastern redcedar (juniper), the main tree encroaching into the grassland.</w:t>
      </w:r>
    </w:p>
    <w:p>
      <w:pPr>
        <w:pStyle w:val="Heading2"/>
        <w:spacing w:after="90" w:before="200"/>
      </w:pPr>
      <w:r>
        <w:t xml:space="preserve">2. Study Area</w:t>
      </w:r>
    </w:p>
    <w:p>
      <w:pPr>
        <w:spacing w:after="110" w:line="276"/>
      </w:pPr>
      <w:r>
        <w:t xml:space="preserve">LBJ National Grassland (NEON site CLBJ), Wise County, Texas — an open Cross Timbers oak savanna about 30 miles from UNT, managed by the US Forest Service as grassland, where eastern redcedar (juniper) is encroaching. NEON has flown the site nine times (2016–2025) and surveys trees in 47 plots.</w:t>
      </w:r>
    </w:p>
    <w:p>
      <w:pPr>
        <w:pStyle w:val="Heading2"/>
        <w:spacing w:after="90" w:before="200"/>
      </w:pPr>
      <w:r>
        <w:t xml:space="preserve">3. Data I Have Explored (all free, NEON)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260"/>
      </w:tblGrid>
      <w:tr>
        <w:trPr>
          <w:tblHeader/>
        </w:trPr>
        <w:tc>
          <w:tcPr>
            <w:tcW w:type="dxa" w:w="3100"/>
            <w:tcBorders>
              <w:top w:val="single" w:color="BFBFBF" w:sz="4"/>
              <w:left w:val="single" w:color="BFBFBF" w:sz="4"/>
              <w:bottom w:val="single" w:color="BFBFBF" w:sz="4"/>
              <w:right w:val="single" w:color="BFBFBF" w:sz="4"/>
            </w:tcBorders>
            <w:shd w:fill="2E5A3F" w:color="auto" w:val="clear"/>
            <w:tcMar>
              <w:top w:type="dxa" w:w="40"/>
              <w:left w:type="dxa" w:w="90"/>
              <w:bottom w:type="dxa" w:w="40"/>
              <w:right w:type="dxa" w:w="90"/>
            </w:tcMar>
          </w:tcPr>
          <w:p>
            <w:r>
              <w:rPr>
                <w:b/>
                <w:bCs/>
                <w:color w:val="FFFFFF"/>
                <w:sz w:val="18"/>
                <w:szCs w:val="18"/>
              </w:rPr>
              <w:t xml:space="preserve">Dataset (NEON ID)</w:t>
            </w:r>
          </w:p>
        </w:tc>
        <w:tc>
          <w:tcPr>
            <w:tcW w:type="dxa" w:w="2000"/>
            <w:tcBorders>
              <w:top w:val="single" w:color="BFBFBF" w:sz="4"/>
              <w:left w:val="single" w:color="BFBFBF" w:sz="4"/>
              <w:bottom w:val="single" w:color="BFBFBF" w:sz="4"/>
              <w:right w:val="single" w:color="BFBFBF" w:sz="4"/>
            </w:tcBorders>
            <w:shd w:fill="2E5A3F" w:color="auto" w:val="clear"/>
            <w:tcMar>
              <w:top w:type="dxa" w:w="40"/>
              <w:left w:type="dxa" w:w="90"/>
              <w:bottom w:type="dxa" w:w="40"/>
              <w:right w:type="dxa" w:w="90"/>
            </w:tcMar>
          </w:tcPr>
          <w:p>
            <w:r>
              <w:rPr>
                <w:b/>
                <w:bCs/>
                <w:color w:val="FFFFFF"/>
                <w:sz w:val="18"/>
                <w:szCs w:val="18"/>
              </w:rPr>
              <w:t xml:space="preserve">CLBJ years</w:t>
            </w:r>
          </w:p>
        </w:tc>
        <w:tc>
          <w:tcPr>
            <w:tcW w:type="dxa" w:w="4260"/>
            <w:tcBorders>
              <w:top w:val="single" w:color="BFBFBF" w:sz="4"/>
              <w:left w:val="single" w:color="BFBFBF" w:sz="4"/>
              <w:bottom w:val="single" w:color="BFBFBF" w:sz="4"/>
              <w:right w:val="single" w:color="BFBFBF" w:sz="4"/>
            </w:tcBorders>
            <w:shd w:fill="2E5A3F" w:color="auto" w:val="clear"/>
            <w:tcMar>
              <w:top w:type="dxa" w:w="40"/>
              <w:left w:type="dxa" w:w="90"/>
              <w:bottom w:type="dxa" w:w="40"/>
              <w:right w:type="dxa" w:w="90"/>
            </w:tcMar>
          </w:tcPr>
          <w:p>
            <w:r>
              <w:rPr>
                <w:b/>
                <w:bCs/>
                <w:color w:val="FFFFFF"/>
                <w:sz w:val="18"/>
                <w:szCs w:val="18"/>
              </w:rPr>
              <w:t xml:space="preserve">Use</w:t>
            </w:r>
          </w:p>
        </w:tc>
      </w:tr>
      <w:tr>
        <w:trPr>
          <w:tblHeader w:val="false"/>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RGB imagery, 10 cm (DP3.30010.001)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2016–2025*</w:t>
            </w:r>
          </w:p>
        </w:tc>
        <w:tc>
          <w:tcPr>
            <w:tcW w:type="dxa" w:w="42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Crown detection (DeepForest, SAM)</w:t>
            </w:r>
          </w:p>
        </w:tc>
      </w:tr>
      <w:tr>
        <w:trPr>
          <w:tblHeader w:val="false"/>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LiDAR canopy height model (DP3.30015.001)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2016–2025*</w:t>
            </w:r>
          </w:p>
        </w:tc>
        <w:tc>
          <w:tcPr>
            <w:tcW w:type="dxa" w:w="42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Tree heights; guiding SAM</w:t>
            </w:r>
          </w:p>
        </w:tc>
      </w:tr>
      <w:tr>
        <w:trPr>
          <w:tblHeader w:val="false"/>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LiDAR point cloud (DP1.30003.001)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2017–2019, 2021–2025</w:t>
            </w:r>
          </w:p>
        </w:tc>
        <w:tc>
          <w:tcPr>
            <w:tcW w:type="dxa" w:w="42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Optional 3D crown features</w:t>
            </w:r>
          </w:p>
        </w:tc>
      </w:tr>
      <w:tr>
        <w:trPr>
          <w:tblHeader w:val="false"/>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Hyperspectral (DP3.30006.001 / .002)</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2016–2019, 2021 / 2022–2025</w:t>
            </w:r>
          </w:p>
        </w:tc>
        <w:tc>
          <w:tcPr>
            <w:tcW w:type="dxa" w:w="42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Separating juniper from oaks</w:t>
            </w:r>
          </w:p>
        </w:tc>
      </w:tr>
      <w:tr>
        <w:trPr>
          <w:tblHeader w:val="false"/>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Vegetation structure, field trees (DP1.10098.001)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2015–2025, 47 plots</w:t>
            </w:r>
          </w:p>
        </w:tc>
        <w:tc>
          <w:tcPr>
            <w:tcW w:type="dxa" w:w="42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Ground truth</w:t>
            </w:r>
          </w:p>
        </w:tc>
      </w:tr>
    </w:tbl>
    <w:p>
      <w:pPr>
        <w:spacing w:after="110" w:line="276"/>
      </w:pPr>
      <w:r>
        <w:rPr>
          <w:i/>
          <w:iCs/>
          <w:sz w:val="18"/>
          <w:szCs w:val="18"/>
        </w:rPr>
        <w:t xml:space="preserve">*No flights in 2020. </w:t>
      </w:r>
      <w:r>
        <w:rPr>
          <w:b/>
          <w:bCs/>
        </w:rPr>
        <w:t xml:space="preserve">Key findings: </w:t>
      </w:r>
      <w:r>
        <w:t xml:space="preserve">862 live trees ≥ 2 m in NEON plots — mainly post oak (368), eastern redcedar (101), blackjack oak (99) and elms/hackberry; no mesquite. I have already computed map coordinates for 517 mapped trees and downloaded the 2024 RGB and canopy-height tiles covering five selected plots.</w:t>
      </w:r>
    </w:p>
    <w:p>
      <w:pPr>
        <w:pStyle w:val="Heading2"/>
        <w:spacing w:after="90" w:before="200"/>
      </w:pPr>
      <w:r>
        <w:t xml:space="preserve">4. Research Gap</w:t>
      </w:r>
    </w:p>
    <w:p>
      <w:pPr>
        <w:pStyle w:val="ListParagraph"/>
        <w:numPr>
          <w:ilvl w:val="0"/>
          <w:numId w:val="2"/>
        </w:numPr>
        <w:spacing w:after="60" w:line="264"/>
      </w:pPr>
      <w:r>
        <w:t xml:space="preserve">Deep learning and SAM-based crown methods have been developed and tested mostly in closed forests, plantations and cities, not in open savanna with scattered, irregular trees mixed with grass.</w:t>
      </w:r>
    </w:p>
    <w:p>
      <w:pPr>
        <w:pStyle w:val="ListParagraph"/>
        <w:numPr>
          <w:ilvl w:val="0"/>
          <w:numId w:val="2"/>
        </w:numPr>
        <w:spacing w:after="60" w:line="264"/>
      </w:pPr>
      <w:r>
        <w:t xml:space="preserve">Open savannas are under-represented in benchmarks: CLBJ was dropped from the NeonTreeEvaluation benchmark because too few trees met its criteria.</w:t>
      </w:r>
    </w:p>
    <w:p>
      <w:pPr>
        <w:pStyle w:val="ListParagraph"/>
        <w:numPr>
          <w:ilvl w:val="0"/>
          <w:numId w:val="2"/>
        </w:numPr>
        <w:spacing w:after="60" w:line="264"/>
      </w:pPr>
      <w:r>
        <w:t xml:space="preserve">Recent work shows LiDAR can improve SAM in forests, but no study (in my search so far) has tested LiDAR-guided SAM against DeepForest in an open savanna, or used it to map juniper encroachment.</w:t>
      </w:r>
    </w:p>
    <w:p>
      <w:pPr>
        <w:pStyle w:val="Heading2"/>
        <w:spacing w:after="90" w:before="200"/>
      </w:pPr>
      <w:r>
        <w:t xml:space="preserve">5. Research Questions</w:t>
      </w:r>
    </w:p>
    <w:p>
      <w:pPr>
        <w:spacing w:after="110" w:line="276"/>
      </w:pPr>
      <w:r>
        <w:rPr>
          <w:b/>
          <w:bCs/>
        </w:rPr>
        <w:t xml:space="preserve">RQ1 (main): </w:t>
      </w:r>
      <w:r>
        <w:t xml:space="preserve">How accurately can individual tree crowns be detected and outlined in an open Cross Timbers savanna using DeepForest, SAM, and SAM guided by LiDAR canopy height?</w:t>
      </w:r>
    </w:p>
    <w:p>
      <w:pPr>
        <w:spacing w:after="110" w:line="276"/>
      </w:pPr>
      <w:r>
        <w:rPr>
          <w:b/>
          <w:bCs/>
        </w:rPr>
        <w:t xml:space="preserve">RQ2: </w:t>
      </w:r>
      <w:r>
        <w:t xml:space="preserve">Can the detected crowns be classified into oaks, eastern redcedar (juniper) and other broadleaf trees, and which data source (RGB, LiDAR, hyperspectral) contributes most?</w:t>
      </w:r>
    </w:p>
    <w:p>
      <w:pPr>
        <w:spacing w:after="110" w:line="276"/>
      </w:pPr>
      <w:r>
        <w:rPr>
          <w:b/>
          <w:bCs/>
        </w:rPr>
        <w:t xml:space="preserve">RQ3 (if time allows): </w:t>
      </w:r>
      <w:r>
        <w:t xml:space="preserve">Using NEON flights from 2017 to 2024, where has juniper increased, and does it differ between burned and unburned management units?</w:t>
      </w:r>
    </w:p>
    <w:p>
      <w:pPr>
        <w:pStyle w:val="Heading2"/>
        <w:spacing w:after="90" w:before="200"/>
      </w:pPr>
      <w:r>
        <w:t xml:space="preserve">6. Novelty</w:t>
      </w:r>
    </w:p>
    <w:p>
      <w:pPr>
        <w:pStyle w:val="ListParagraph"/>
        <w:numPr>
          <w:ilvl w:val="0"/>
          <w:numId w:val="2"/>
        </w:numPr>
        <w:spacing w:after="60" w:line="264"/>
      </w:pPr>
      <w:r>
        <w:rPr>
          <w:b/>
          <w:bCs/>
        </w:rPr>
        <w:t xml:space="preserve">New setting: </w:t>
      </w:r>
      <w:r>
        <w:t xml:space="preserve">first comparison of DeepForest, SAM and LiDAR-guided SAM for crown extraction in an open Cross Timbers savanna.</w:t>
      </w:r>
    </w:p>
    <w:p>
      <w:pPr>
        <w:pStyle w:val="ListParagraph"/>
        <w:numPr>
          <w:ilvl w:val="0"/>
          <w:numId w:val="2"/>
        </w:numPr>
        <w:spacing w:after="60" w:line="264"/>
      </w:pPr>
      <w:r>
        <w:rPr>
          <w:b/>
          <w:bCs/>
        </w:rPr>
        <w:t xml:space="preserve">New method test: </w:t>
      </w:r>
      <w:r>
        <w:t xml:space="preserve">uses LiDAR tree tops and heights to guide a general foundation model (SAM) for trees in open landscapes.</w:t>
      </w:r>
    </w:p>
    <w:p>
      <w:pPr>
        <w:pStyle w:val="ListParagraph"/>
        <w:numPr>
          <w:ilvl w:val="0"/>
          <w:numId w:val="2"/>
        </w:numPr>
        <w:spacing w:after="60" w:line="264"/>
      </w:pPr>
      <w:r>
        <w:rPr>
          <w:b/>
          <w:bCs/>
        </w:rPr>
        <w:t xml:space="preserve">New data: </w:t>
      </w:r>
      <w:r>
        <w:t xml:space="preserve">a hand-checked reference crown dataset for CLBJ, filling the benchmark gap and shareable for future studies.</w:t>
      </w:r>
    </w:p>
    <w:p>
      <w:pPr>
        <w:pStyle w:val="ListParagraph"/>
        <w:numPr>
          <w:ilvl w:val="0"/>
          <w:numId w:val="2"/>
        </w:numPr>
        <w:spacing w:after="60" w:line="264"/>
      </w:pPr>
      <w:r>
        <w:rPr>
          <w:b/>
          <w:bCs/>
        </w:rPr>
        <w:t xml:space="preserve">Applied value: </w:t>
      </w:r>
      <w:r>
        <w:t xml:space="preserve">tree-level maps of juniper versus oak to support grassland management at LBJ.</w:t>
      </w:r>
    </w:p>
    <w:p>
      <w:pPr>
        <w:pStyle w:val="Heading2"/>
        <w:spacing w:after="90" w:before="200"/>
      </w:pPr>
      <w:r>
        <w:t xml:space="preserve">7. How I Will Evaluate</w:t>
      </w:r>
    </w:p>
    <w:p>
      <w:pPr>
        <w:pStyle w:val="ListParagraph"/>
        <w:numPr>
          <w:ilvl w:val="0"/>
          <w:numId w:val="2"/>
        </w:numPr>
        <w:spacing w:after="60" w:line="264"/>
      </w:pPr>
      <w:r>
        <w:t xml:space="preserve">NEON field trees (517 located live trees ≥ 2 m): check whether each real tree is detected (recall) and compare crown size.</w:t>
      </w:r>
    </w:p>
    <w:p>
      <w:pPr>
        <w:pStyle w:val="ListParagraph"/>
        <w:numPr>
          <w:ilvl w:val="0"/>
          <w:numId w:val="2"/>
        </w:numPr>
        <w:spacing w:after="60" w:line="264"/>
      </w:pPr>
      <w:r>
        <w:t xml:space="preserve">A small hand-drawn reference set (~150–300 crowns around five plots): precision, recall, F1 and IoU.</w:t>
      </w:r>
    </w:p>
    <w:p>
      <w:pPr>
        <w:pStyle w:val="Heading2"/>
        <w:spacing w:after="90" w:before="200"/>
      </w:pPr>
      <w:r>
        <w:t xml:space="preserve">8. Next Steps and Questions for You</w:t>
      </w:r>
    </w:p>
    <w:p>
      <w:pPr>
        <w:pStyle w:val="ListParagraph"/>
        <w:numPr>
          <w:ilvl w:val="0"/>
          <w:numId w:val="2"/>
        </w:numPr>
        <w:spacing w:after="60" w:line="264"/>
      </w:pPr>
      <w:r>
        <w:t xml:space="preserve">Next: visualize data in QGIS, draw reference crowns, run DeepForest and SAM on the 2024 tiles.</w:t>
      </w:r>
    </w:p>
    <w:p>
      <w:pPr>
        <w:pStyle w:val="ListParagraph"/>
        <w:numPr>
          <w:ilvl w:val="0"/>
          <w:numId w:val="2"/>
        </w:numPr>
        <w:spacing w:after="60" w:line="264"/>
      </w:pPr>
      <w:r>
        <w:t xml:space="preserve">Is the scope right for a master’s thesis, with RQ3 as optional?</w:t>
      </w:r>
    </w:p>
    <w:p>
      <w:pPr>
        <w:pStyle w:val="ListParagraph"/>
        <w:numPr>
          <w:ilvl w:val="0"/>
          <w:numId w:val="2"/>
        </w:numPr>
        <w:spacing w:after="60" w:line="264"/>
      </w:pPr>
      <w:r>
        <w:t xml:space="preserve">Is NEON field data plus a small hand-drawn set enough for validation?</w:t>
      </w:r>
    </w:p>
    <w:p>
      <w:pPr>
        <w:pStyle w:val="ListParagraph"/>
        <w:numPr>
          <w:ilvl w:val="0"/>
          <w:numId w:val="2"/>
        </w:numPr>
        <w:spacing w:after="60" w:line="264"/>
      </w:pPr>
      <w:r>
        <w:t xml:space="preserve">Can I access UNT computing resources (GPU) for SAM?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2026-10-15T18:42:48.340Z</dcterms:created>
  <dcterms:modified xsi:type="dcterms:W3CDTF">2026-10-15T18:42:48.340Z</dcterms:modified>
</cp:coreProperties>
</file>

<file path=docProps/custom.xml><?xml version="1.0" encoding="utf-8"?>
<Properties xmlns="http://schemas.openxmlformats.org/officeDocument/2006/custom-properties" xmlns:vt="http://schemas.openxmlformats.org/officeDocument/2006/docPropsVTypes"/>
</file>