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7A8C7E"/>
          <w:spacing w:val="40"/>
          <w:sz w:val="20"/>
          <w:szCs w:val="20"/>
        </w:rPr>
        <w:t xml:space="preserve">PROPOSED RESEARCH FRAMEWORK</w:t>
      </w:r>
    </w:p>
    <w:p>
      <w:pPr>
        <w:spacing w:after="120"/>
      </w:pPr>
      <w:r>
        <w:rPr>
          <w:b/>
          <w:bCs/>
          <w:color w:val="2E5A3F"/>
          <w:sz w:val="30"/>
          <w:szCs w:val="30"/>
        </w:rPr>
        <w:t xml:space="preserve">Deep Learning and Foundation Models (SAM, SAM 2) for Individual Tree Crown Delineation and Species Mapping in an Open Cross Timbers Savanna</w:t>
      </w:r>
    </w:p>
    <w:p>
      <w:pPr>
        <w:spacing w:after="200"/>
      </w:pPr>
      <w:r>
        <w:rPr>
          <w:color w:val="555555"/>
          <w:sz w:val="20"/>
          <w:szCs w:val="20"/>
        </w:rPr>
        <w:t xml:space="preserve">Sudipta Poudel · M.S. Candidate, University of North Texas · Advisor: Dr. Pinliang Dong</w:t>
      </w:r>
    </w:p>
    <w:p>
      <w:pPr>
        <w:pStyle w:val="Heading1"/>
        <w:spacing w:after="110" w:before="240"/>
      </w:pPr>
      <w:r>
        <w:rPr>
          <w:b/>
          <w:bCs/>
          <w:color w:val="2E5A3F"/>
          <w:sz w:val="25"/>
          <w:szCs w:val="25"/>
        </w:rPr>
        <w:t xml:space="preserve">1. Purpose of the Framework</w:t>
      </w:r>
    </w:p>
    <w:p>
      <w:pPr>
        <w:spacing w:after="120" w:line="288"/>
        <w:jc w:val="both"/>
      </w:pPr>
      <w:r>
        <w:t xml:space="preserve">This framework sets out the ideas that guide my research and shows how they lead to my research questions, methods and expected outcomes. It draws on three bodies of knowledge. Ecology explains what needs to be mapped at LBJ National Grassland and why. Remote sensing explains which measurable signals can tell trees and tree species apart. Artificial intelligence explains how crowns can be extracted from those signals. Bringing the three together produces a single proposition that the study is designed to test, and every research question, dataset and analysis described below can be traced back to it.</w:t>
      </w:r>
    </w:p>
    <w:p>
      <w:pPr>
        <w:pStyle w:val="Heading1"/>
        <w:spacing w:after="110" w:before="240"/>
      </w:pPr>
      <w:r>
        <w:rPr>
          <w:b/>
          <w:bCs/>
          <w:color w:val="2E5A3F"/>
          <w:sz w:val="25"/>
          <w:szCs w:val="25"/>
        </w:rPr>
        <w:t xml:space="preserve">2. Theoretical Foundations</w:t>
      </w:r>
    </w:p>
    <w:p>
      <w:pPr>
        <w:pStyle w:val="Heading2"/>
        <w:spacing w:after="80" w:before="160"/>
      </w:pPr>
      <w:r>
        <w:rPr>
          <w:b/>
          <w:bCs/>
          <w:color w:val="2E5A3F"/>
          <w:sz w:val="22"/>
          <w:szCs w:val="22"/>
        </w:rPr>
        <w:t xml:space="preserve">2.1 Ecological foundation: woody encroachment in the Cross Timbers</w:t>
      </w:r>
    </w:p>
    <w:p>
      <w:pPr>
        <w:spacing w:after="120" w:line="288"/>
        <w:jc w:val="both"/>
      </w:pPr>
      <w:r>
        <w:t xml:space="preserve">Woody plant encroachment is one of the most widespread changes in North American grasslands and savannas (Van Auken, 2000; Archer et al., 2017). In the mesic grasslands of the southern Great Plains, a central driver is the loss of frequent fire. Without fire, fire-sensitive trees such as eastern redcedar (</w:t>
      </w:r>
      <w:r>
        <w:rPr>
          <w:i/>
          <w:iCs/>
        </w:rPr>
        <w:t xml:space="preserve">Juniperus virginiana</w:t>
      </w:r>
      <w:r>
        <w:t xml:space="preserve">) establish in open grassland. Once they grow large enough to survive fire and shade out the grass that carries it, a feedback develops that can shift grassland toward closed woodland (Briggs et al., 2005; Twidwell et al., 2013). Encroachment reduces plant diversity (Ratajczak et al., 2012), and redcedar has expanded rapidly in neighboring Oklahoma over recent decades (Wang et al., 2017).</w:t>
      </w:r>
    </w:p>
    <w:p>
      <w:pPr>
        <w:spacing w:after="120" w:line="288"/>
        <w:jc w:val="both"/>
      </w:pPr>
      <w:r>
        <w:t xml:space="preserve">The Cross Timbers is a mosaic of post oak and blackjack oak woodland and open grassland that forms the transition between eastern forests and the southern prairies (Hoagland et al., 1999). At LBJ National Grassland, parts of the Cross Timbers Research Natural Area are described as heavily invaded by young juniper (Cross Timbers Project, n.d.), and the US Forest Service uses prescribed fire across management units to limit woody cover, including about 5,635 acres in the Denton Creek project (USDA Forest Service, 2013). For this study, the ecological theory has two consequences. First, the meaningful mapping unit is the individual tree, because encroachment begins with single trees spreading into grass. Second, the key distinction is between native oaks and encroaching redcedar, which defines the classes I will map and motivates the optional change analysis.</w:t>
      </w:r>
    </w:p>
    <w:p>
      <w:pPr>
        <w:pStyle w:val="Heading2"/>
        <w:spacing w:after="80" w:before="160"/>
      </w:pPr>
      <w:r>
        <w:rPr>
          <w:b/>
          <w:bCs/>
          <w:color w:val="2E5A3F"/>
          <w:sz w:val="22"/>
          <w:szCs w:val="22"/>
        </w:rPr>
        <w:t xml:space="preserve">2.2 Remote sensing foundation: what distinguishes trees and species</w:t>
      </w:r>
    </w:p>
    <w:p>
      <w:pPr>
        <w:spacing w:after="120" w:line="288"/>
        <w:jc w:val="both"/>
      </w:pPr>
      <w:r>
        <w:t xml:space="preserve">With very high-resolution imagery, individual pixels are much smaller than the objects of interest, so analysis should treat whole objects, not pixels, as the basic unit (Blaschke, 2010). Individual tree crown detection and delineation has developed along this line, first with optical imagery and later with LiDAR (Ke &amp; Quackenbush, 2011; Zhen et al., 2016). Each sensor captures a different property of the same tree. RGB imagery records two-dimensional crown shape and texture. LiDAR records three-dimensional structure; local height maxima in a canopy height model mark tree tops, and point clouds describe crown form (Popescu &amp; Wynne, 2004; Dong &amp; Chen, 2018; Roussel et al., 2020). Hyperspectral imagery records canopy reflectance, which depends on leaf pigments, water, dry matter and canopy architecture (Asner, 1998), and therefore differs among plant functional types and species (Ustin &amp; Gamon, 2010; Fassnacht et al., 2016). Across NEON sites, hyperspectral data have classified individual trees to species with an average accuracy of 0.77 (Marconi et al., 2022).</w:t>
      </w:r>
    </w:p>
    <w:p>
      <w:pPr>
        <w:spacing w:after="120" w:line="288"/>
        <w:jc w:val="both"/>
      </w:pPr>
      <w:r>
        <w:t xml:space="preserve">Multisensor fusion theory holds that sensors measuring complementary properties give better results together than separately (Pohl &amp; van Genderen, 1998), and combining LiDAR with hyperspectral data has improved tree-level mapping in forests (Dalponte &amp; Coomes, 2016; Scholl et al., 2021). NEON’s Airborne Observation Platform collects RGB, LiDAR and hyperspectral data together from one aircraft (Kampe et al., 2010), which makes LBJ a suitable place to test this idea at the level of individual trees. Evergreen, dense and conical redcedar crowns are expected to differ from broad, deciduous oak crowns in all three data types.</w:t>
      </w:r>
    </w:p>
    <w:p>
      <w:pPr>
        <w:pStyle w:val="Heading2"/>
        <w:spacing w:after="80" w:before="160"/>
      </w:pPr>
      <w:r>
        <w:rPr>
          <w:b/>
          <w:bCs/>
          <w:color w:val="2E5A3F"/>
          <w:sz w:val="22"/>
          <w:szCs w:val="22"/>
        </w:rPr>
        <w:t xml:space="preserve">2.3 AI foundation: supervised deep learning versus foundation models</w:t>
      </w:r>
    </w:p>
    <w:p>
      <w:pPr>
        <w:spacing w:after="120" w:line="288"/>
        <w:jc w:val="both"/>
      </w:pPr>
      <w:r>
        <w:t xml:space="preserve">Supervised deep learning learns visual features directly from labeled examples and now dominates many remote sensing tasks (Zhu et al., 2017). DeepForest uses the RetinaNet detector (Lin et al., 2017) trained on NEON imagery with LiDAR-derived training labels (Weinstein et al., 2019, 2020), and Detectree2 builds on Mask R-CNN to outline crown boundaries (He et al., 2017; Ball et al., 2023). These models perform well where their training data come from, but they are affected by domain shift: accuracy tends to fall in landscapes that look different from the training sites. Open savanna is such a case, and CLBJ was left out of the NEON crown benchmark because too few trees met its criteria (Weinstein et al., 2021).</w:t>
      </w:r>
    </w:p>
    <w:p>
      <w:pPr>
        <w:spacing w:after="120" w:line="288"/>
        <w:jc w:val="both"/>
      </w:pPr>
      <w:r>
        <w:t xml:space="preserve">Foundation models take a different approach. They are trained on very large, broad datasets and then applied to many tasks (Bommasani et al., 2021). SAM was trained on more than one billion masks from eleven million images and can segment objects from simple prompts such as points or boxes (Kirillov et al., 2023). SAM 2 extends this to video and is reported to be more accurate and about six times faster than SAM on images (Ravi et al., 2024). On remote sensing imagery, however, SAM performs unevenly (Osco et al., 2023; Wu &amp; Osco, 2023), and on tree crowns in drone imagery it did not match a trained Mask R-CNN until elevation data were added (Teng et al., 2025). The trade-off is therefore between specialization and generality. Prompts are the channel through which site knowledge can be supplied to a general model, which is the idea this study builds on.</w:t>
      </w:r>
    </w:p>
    <w:p>
      <w:pPr>
        <w:pStyle w:val="Heading1"/>
        <w:spacing w:after="110" w:before="240"/>
      </w:pPr>
      <w:r>
        <w:rPr>
          <w:b/>
          <w:bCs/>
          <w:color w:val="2E5A3F"/>
          <w:sz w:val="25"/>
          <w:szCs w:val="25"/>
        </w:rPr>
        <w:t xml:space="preserve">3. Conceptual Framework and Core Proposition</w:t>
      </w:r>
    </w:p>
    <w:p>
      <w:pPr>
        <w:spacing w:after="120" w:line="288"/>
        <w:jc w:val="both"/>
      </w:pPr>
      <w:r>
        <w:t xml:space="preserve">Figure 1 shows how the three foundations combine. Ecology defines what to map and why, remote sensing defines which signals separate trees and species, and AI defines how crowns can be extracted. Together they lead to the core proposition of the study:</w:t>
      </w:r>
    </w:p>
    <w:p>
      <w:pPr>
        <w:spacing w:after="120" w:before="60"/>
        <w:ind w:left="500" w:right="500"/>
      </w:pPr>
      <w:r>
        <w:rPr>
          <w:i/>
          <w:iCs/>
          <w:color w:val="6B5416"/>
        </w:rPr>
        <w:t xml:space="preserve">General-purpose foundation models, guided by site knowledge from LiDAR (where trees are) and hyperspectral imagery (what is vegetation and which species it is), can overcome the domain shift that limits forest-trained models in open savanna.</w:t>
      </w:r>
    </w:p>
    <w:p>
      <w:pPr>
        <w:spacing w:after="20" w:before="80"/>
        <w:jc w:val="center"/>
      </w:pPr>
      <w:r>
        <w:drawing>
          <wp:inline distT="0" distB="0" distL="0" distR="0">
            <wp:extent cx="5334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933825"/>
                    </a:xfrm>
                    <a:prstGeom prst="rect">
                      <a:avLst/>
                    </a:prstGeom>
                  </pic:spPr>
                </pic:pic>
              </a:graphicData>
            </a:graphic>
          </wp:inline>
        </w:drawing>
      </w:r>
    </w:p>
    <w:p>
      <w:pPr>
        <w:spacing w:after="160" w:before="60"/>
        <w:jc w:val="center"/>
      </w:pPr>
      <w:r>
        <w:rPr>
          <w:i/>
          <w:iCs/>
          <w:color w:val="555555"/>
          <w:sz w:val="18"/>
          <w:szCs w:val="18"/>
        </w:rPr>
        <w:t xml:space="preserve">Figure 1. Conceptual framework linking ecological, remote sensing and AI theory to the core proposition, research questions and outcomes.</w:t>
      </w:r>
    </w:p>
    <w:p>
      <w:pPr>
        <w:spacing w:after="120" w:line="288"/>
        <w:jc w:val="both"/>
      </w:pPr>
      <w:r>
        <w:t xml:space="preserve">In this framework, the type of model (supervised deep learning or foundation model) and the type of guidance (none, LiDAR, LiDAR plus hyperspectral) are the main factors expected to affect crown delineation accuracy. Crown size, tree isolation and setting (open grassland or woodland) are expected to moderate these effects. For species identification, the factor of interest is the combination of input data, and the outcome is classification accuracy for oaks, redcedar and other broadleaf trees.</w:t>
      </w:r>
    </w:p>
    <w:p>
      <w:pPr>
        <w:pStyle w:val="Heading1"/>
        <w:spacing w:after="110" w:before="240"/>
      </w:pPr>
      <w:r>
        <w:rPr>
          <w:b/>
          <w:bCs/>
          <w:color w:val="2E5A3F"/>
          <w:sz w:val="25"/>
          <w:szCs w:val="25"/>
        </w:rPr>
        <w:t xml:space="preserve">4. Research Questions and Hypotheses</w:t>
      </w:r>
    </w:p>
    <w:p>
      <w:pPr>
        <w:spacing w:after="120" w:line="288"/>
        <w:jc w:val="both"/>
      </w:pPr>
      <w:r>
        <w:t xml:space="preserve">Each research question follows from one part of the framework, and each hypothesis states the result the theory predicts.</w:t>
      </w:r>
    </w:p>
    <w:p>
      <w:pPr>
        <w:spacing w:after="60" w:before="120"/>
      </w:pPr>
      <w:r>
        <w:rPr>
          <w:b/>
          <w:bCs/>
          <w:color w:val="444444"/>
          <w:sz w:val="19"/>
          <w:szCs w:val="19"/>
        </w:rPr>
        <w:t xml:space="preserve">Table 1. Research questions, hypotheses and their theoretical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100"/>
        <w:gridCol w:w="3100"/>
        <w:gridCol w:w="2360"/>
      </w:tblGrid>
      <w:tr>
        <w:trPr>
          <w:tblHeader/>
        </w:trPr>
        <w:tc>
          <w:tcPr>
            <w:tcW w:type="dxa" w:w="800"/>
            <w:tcBorders>
              <w:top w:val="single" w:color="BFBFBF" w:sz="4"/>
              <w:left w:val="single" w:color="BFBFBF" w:sz="4"/>
              <w:bottom w:val="single" w:color="BFBFBF" w:sz="4"/>
              <w:right w:val="single" w:color="BFBFBF" w:sz="4"/>
            </w:tcBorders>
            <w:shd w:fill="2E5A3F" w:color="auto" w:val="clear"/>
            <w:tcMar>
              <w:top w:type="dxa" w:w="50"/>
              <w:left w:type="dxa" w:w="90"/>
              <w:bottom w:type="dxa" w:w="50"/>
              <w:right w:type="dxa" w:w="90"/>
            </w:tcMar>
          </w:tcPr>
          <w:p>
            <w:r>
              <w:rPr>
                <w:b/>
                <w:bCs/>
                <w:color w:val="FFFFFF"/>
                <w:sz w:val="18"/>
                <w:szCs w:val="18"/>
              </w:rPr>
              <w:t xml:space="preserve"/>
            </w:r>
          </w:p>
        </w:tc>
        <w:tc>
          <w:tcPr>
            <w:tcW w:type="dxa" w:w="3100"/>
            <w:tcBorders>
              <w:top w:val="single" w:color="BFBFBF" w:sz="4"/>
              <w:left w:val="single" w:color="BFBFBF" w:sz="4"/>
              <w:bottom w:val="single" w:color="BFBFBF" w:sz="4"/>
              <w:right w:val="single" w:color="BFBFBF" w:sz="4"/>
            </w:tcBorders>
            <w:shd w:fill="2E5A3F" w:color="auto" w:val="clear"/>
            <w:tcMar>
              <w:top w:type="dxa" w:w="50"/>
              <w:left w:type="dxa" w:w="90"/>
              <w:bottom w:type="dxa" w:w="50"/>
              <w:right w:type="dxa" w:w="90"/>
            </w:tcMar>
          </w:tcPr>
          <w:p>
            <w:r>
              <w:rPr>
                <w:b/>
                <w:bCs/>
                <w:color w:val="FFFFFF"/>
                <w:sz w:val="18"/>
                <w:szCs w:val="18"/>
              </w:rPr>
              <w:t xml:space="preserve">Research question</w:t>
            </w:r>
          </w:p>
        </w:tc>
        <w:tc>
          <w:tcPr>
            <w:tcW w:type="dxa" w:w="3100"/>
            <w:tcBorders>
              <w:top w:val="single" w:color="BFBFBF" w:sz="4"/>
              <w:left w:val="single" w:color="BFBFBF" w:sz="4"/>
              <w:bottom w:val="single" w:color="BFBFBF" w:sz="4"/>
              <w:right w:val="single" w:color="BFBFBF" w:sz="4"/>
            </w:tcBorders>
            <w:shd w:fill="2E5A3F" w:color="auto" w:val="clear"/>
            <w:tcMar>
              <w:top w:type="dxa" w:w="50"/>
              <w:left w:type="dxa" w:w="90"/>
              <w:bottom w:type="dxa" w:w="50"/>
              <w:right w:type="dxa" w:w="90"/>
            </w:tcMar>
          </w:tcPr>
          <w:p>
            <w:r>
              <w:rPr>
                <w:b/>
                <w:bCs/>
                <w:color w:val="FFFFFF"/>
                <w:sz w:val="18"/>
                <w:szCs w:val="18"/>
              </w:rPr>
              <w:t xml:space="preserve">Hypothesis</w:t>
            </w:r>
          </w:p>
        </w:tc>
        <w:tc>
          <w:tcPr>
            <w:tcW w:type="dxa" w:w="2360"/>
            <w:tcBorders>
              <w:top w:val="single" w:color="BFBFBF" w:sz="4"/>
              <w:left w:val="single" w:color="BFBFBF" w:sz="4"/>
              <w:bottom w:val="single" w:color="BFBFBF" w:sz="4"/>
              <w:right w:val="single" w:color="BFBFBF" w:sz="4"/>
            </w:tcBorders>
            <w:shd w:fill="2E5A3F" w:color="auto" w:val="clear"/>
            <w:tcMar>
              <w:top w:type="dxa" w:w="50"/>
              <w:left w:type="dxa" w:w="90"/>
              <w:bottom w:type="dxa" w:w="50"/>
              <w:right w:type="dxa" w:w="90"/>
            </w:tcMar>
          </w:tcPr>
          <w:p>
            <w:r>
              <w:rPr>
                <w:b/>
                <w:bCs/>
                <w:color w:val="FFFFFF"/>
                <w:sz w:val="18"/>
                <w:szCs w:val="18"/>
              </w:rPr>
              <w:t xml:space="preserve">Theoretical basis</w:t>
            </w:r>
          </w:p>
        </w:tc>
      </w:tr>
      <w:tr>
        <w:trPr>
          <w:tblHeader w:val="false"/>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RQ1</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How do supervised deep learning models (DeepForest, Detectree2) and foundation models (SAM, SAM 2) compare for delineating tree crowns in an open savanna, and does LiDAR and hyperspectral guidance improve the foundation models?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Guided SAM and SAM 2 will outperform their zero-shot forms and approach the trained detectors without site-specific training; accuracy will be lowest for small and clustered crowns.</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Domain shift in supervised models; promptable foundation models; LiDAR tree-top detection</w:t>
            </w:r>
          </w:p>
        </w:tc>
      </w:tr>
      <w:tr>
        <w:trPr>
          <w:tblHeader w:val="false"/>
        </w:trPr>
        <w:tc>
          <w:tcPr>
            <w:tcW w:type="dxa" w:w="800"/>
            <w:tcBorders>
              <w:top w:val="single" w:color="BFBFBF" w:sz="4"/>
              <w:left w:val="single" w:color="BFBFBF" w:sz="4"/>
              <w:bottom w:val="single" w:color="BFBFBF" w:sz="4"/>
              <w:right w:val="single" w:color="BFBFBF" w:sz="4"/>
            </w:tcBorders>
            <w:shd w:fill="F3F7F4" w:color="auto" w:val="clear"/>
            <w:tcMar>
              <w:top w:type="dxa" w:w="50"/>
              <w:left w:type="dxa" w:w="90"/>
              <w:bottom w:type="dxa" w:w="50"/>
              <w:right w:type="dxa" w:w="90"/>
            </w:tcMar>
          </w:tcPr>
          <w:p>
            <w:r>
              <w:rPr>
                <w:b w:val="false"/>
                <w:bCs w:val="false"/>
                <w:sz w:val="18"/>
                <w:szCs w:val="18"/>
              </w:rPr>
              <w:t xml:space="preserve">RQ2</w:t>
            </w:r>
          </w:p>
        </w:tc>
        <w:tc>
          <w:tcPr>
            <w:tcW w:type="dxa" w:w="3100"/>
            <w:tcBorders>
              <w:top w:val="single" w:color="BFBFBF" w:sz="4"/>
              <w:left w:val="single" w:color="BFBFBF" w:sz="4"/>
              <w:bottom w:val="single" w:color="BFBFBF" w:sz="4"/>
              <w:right w:val="single" w:color="BFBFBF" w:sz="4"/>
            </w:tcBorders>
            <w:shd w:fill="F3F7F4" w:color="auto" w:val="clear"/>
            <w:tcMar>
              <w:top w:type="dxa" w:w="50"/>
              <w:left w:type="dxa" w:w="90"/>
              <w:bottom w:type="dxa" w:w="50"/>
              <w:right w:type="dxa" w:w="90"/>
            </w:tcMar>
          </w:tcPr>
          <w:p>
            <w:r>
              <w:rPr>
                <w:b w:val="false"/>
                <w:bCs w:val="false"/>
                <w:sz w:val="18"/>
                <w:szCs w:val="18"/>
              </w:rPr>
              <w:t xml:space="preserve">How accurately can the delineated crowns be classified to species, and how much do hyperspectral, LiDAR and RGB data each contribute?</w:t>
            </w:r>
          </w:p>
        </w:tc>
        <w:tc>
          <w:tcPr>
            <w:tcW w:type="dxa" w:w="3100"/>
            <w:tcBorders>
              <w:top w:val="single" w:color="BFBFBF" w:sz="4"/>
              <w:left w:val="single" w:color="BFBFBF" w:sz="4"/>
              <w:bottom w:val="single" w:color="BFBFBF" w:sz="4"/>
              <w:right w:val="single" w:color="BFBFBF" w:sz="4"/>
            </w:tcBorders>
            <w:shd w:fill="F3F7F4" w:color="auto" w:val="clear"/>
            <w:tcMar>
              <w:top w:type="dxa" w:w="50"/>
              <w:left w:type="dxa" w:w="90"/>
              <w:bottom w:type="dxa" w:w="50"/>
              <w:right w:type="dxa" w:w="90"/>
            </w:tcMar>
          </w:tcPr>
          <w:p>
            <w:r>
              <w:rPr>
                <w:b w:val="false"/>
                <w:bCs w:val="false"/>
                <w:sz w:val="18"/>
                <w:szCs w:val="18"/>
              </w:rPr>
              <w:t xml:space="preserve">Hyperspectral data will contribute most; adding LiDAR structure will further improve separation of evergreen redcedar from deciduous oaks.</w:t>
            </w:r>
          </w:p>
        </w:tc>
        <w:tc>
          <w:tcPr>
            <w:tcW w:type="dxa" w:w="2360"/>
            <w:tcBorders>
              <w:top w:val="single" w:color="BFBFBF" w:sz="4"/>
              <w:left w:val="single" w:color="BFBFBF" w:sz="4"/>
              <w:bottom w:val="single" w:color="BFBFBF" w:sz="4"/>
              <w:right w:val="single" w:color="BFBFBF" w:sz="4"/>
            </w:tcBorders>
            <w:shd w:fill="F3F7F4" w:color="auto" w:val="clear"/>
            <w:tcMar>
              <w:top w:type="dxa" w:w="50"/>
              <w:left w:type="dxa" w:w="90"/>
              <w:bottom w:type="dxa" w:w="50"/>
              <w:right w:type="dxa" w:w="90"/>
            </w:tcMar>
          </w:tcPr>
          <w:p>
            <w:r>
              <w:rPr>
                <w:b w:val="false"/>
                <w:bCs w:val="false"/>
                <w:sz w:val="18"/>
                <w:szCs w:val="18"/>
              </w:rPr>
              <w:t xml:space="preserve">Leaf biochemistry and spectral theory; multisensor fusion</w:t>
            </w:r>
          </w:p>
        </w:tc>
      </w:tr>
      <w:tr>
        <w:trPr>
          <w:tblHeader w:val="false"/>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RQ3*</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Where has eastern redcedar expanded between NEON flight years, and does change differ between burned and unburned units?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Redcedar cover has increased overall, with less expansion in regularly burned units.</w:t>
            </w:r>
          </w:p>
        </w:tc>
        <w:tc>
          <w:tcPr>
            <w:tcW w:type="dxa" w:w="23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Fire–grass–tree feedback theory of encroachment</w:t>
            </w:r>
          </w:p>
        </w:tc>
      </w:tr>
    </w:tbl>
    <w:p>
      <w:pPr>
        <w:spacing w:after="120" w:line="288"/>
        <w:jc w:val="both"/>
      </w:pPr>
      <w:r>
        <w:rPr>
          <w:i/>
          <w:iCs/>
          <w:sz w:val="18"/>
          <w:szCs w:val="18"/>
        </w:rPr>
        <w:t xml:space="preserve">*Optional; the thesis does not depend on it.</w:t>
      </w:r>
    </w:p>
    <w:p>
      <w:pPr>
        <w:pStyle w:val="Heading1"/>
        <w:spacing w:after="110" w:before="240"/>
      </w:pPr>
      <w:r>
        <w:rPr>
          <w:b/>
          <w:bCs/>
          <w:color w:val="2E5A3F"/>
          <w:sz w:val="25"/>
          <w:szCs w:val="25"/>
        </w:rPr>
        <w:t xml:space="preserve">5. Methodology Alignment</w:t>
      </w:r>
    </w:p>
    <w:p>
      <w:pPr>
        <w:pStyle w:val="Heading2"/>
        <w:spacing w:after="80" w:before="160"/>
      </w:pPr>
      <w:r>
        <w:rPr>
          <w:b/>
          <w:bCs/>
          <w:color w:val="2E5A3F"/>
          <w:sz w:val="22"/>
          <w:szCs w:val="22"/>
        </w:rPr>
        <w:t xml:space="preserve">5.1 Study area and data collection</w:t>
      </w:r>
    </w:p>
    <w:p>
      <w:pPr>
        <w:spacing w:after="120" w:line="288"/>
        <w:jc w:val="both"/>
      </w:pPr>
      <w:r>
        <w:t xml:space="preserve">The study uses existing, openly available NEON data for the CLBJ site, so no new field campaign is required. I will work with a single flight year (2024) to keep the sensors consistent: 10 cm RGB imagery, the LiDAR canopy height model and point cloud, and 426-band hyperspectral reflectance at 1 m. Ground truth comes from NEON vegetation structure surveys (NEON, 2026), which record 862 live trees at least 2 m tall in 47 plots, 517 of them with mapped stem positions. Five plots spanning woodland and grassland have already been selected, and the RGB and canopy height tiles covering them have been downloaded.</w:t>
      </w:r>
    </w:p>
    <w:p>
      <w:pPr>
        <w:pStyle w:val="Heading2"/>
        <w:spacing w:after="80" w:before="160"/>
      </w:pPr>
      <w:r>
        <w:rPr>
          <w:b/>
          <w:bCs/>
          <w:color w:val="2E5A3F"/>
          <w:sz w:val="22"/>
          <w:szCs w:val="22"/>
        </w:rPr>
        <w:t xml:space="preserve">5.2 Linking methods to the framework</w:t>
      </w:r>
    </w:p>
    <w:p>
      <w:pPr>
        <w:spacing w:after="120" w:line="288"/>
        <w:jc w:val="both"/>
      </w:pPr>
      <w:r>
        <w:t xml:space="preserve">Table 2 shows how each part of the framework is turned into data, methods and evaluation.</w:t>
      </w:r>
    </w:p>
    <w:p>
      <w:pPr>
        <w:spacing w:after="60" w:before="120"/>
      </w:pPr>
      <w:r>
        <w:rPr>
          <w:b/>
          <w:bCs/>
          <w:color w:val="444444"/>
          <w:sz w:val="19"/>
          <w:szCs w:val="19"/>
        </w:rPr>
        <w:t xml:space="preserve">Table 2. Alignment of framework components, data, methods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3300"/>
        <w:gridCol w:w="2260"/>
      </w:tblGrid>
      <w:tr>
        <w:trPr>
          <w:tblHeader/>
        </w:trPr>
        <w:tc>
          <w:tcPr>
            <w:tcW w:type="dxa" w:w="1500"/>
            <w:tcBorders>
              <w:top w:val="single" w:color="BFBFBF" w:sz="4"/>
              <w:left w:val="single" w:color="BFBFBF" w:sz="4"/>
              <w:bottom w:val="single" w:color="BFBFBF" w:sz="4"/>
              <w:right w:val="single" w:color="BFBFBF" w:sz="4"/>
            </w:tcBorders>
            <w:shd w:fill="2E5A3F" w:color="auto" w:val="clear"/>
            <w:tcMar>
              <w:top w:type="dxa" w:w="50"/>
              <w:left w:type="dxa" w:w="90"/>
              <w:bottom w:type="dxa" w:w="50"/>
              <w:right w:type="dxa" w:w="90"/>
            </w:tcMar>
          </w:tcPr>
          <w:p>
            <w:r>
              <w:rPr>
                <w:b/>
                <w:bCs/>
                <w:color w:val="FFFFFF"/>
                <w:sz w:val="18"/>
                <w:szCs w:val="18"/>
              </w:rPr>
              <w:t xml:space="preserve">Component</w:t>
            </w:r>
          </w:p>
        </w:tc>
        <w:tc>
          <w:tcPr>
            <w:tcW w:type="dxa" w:w="2300"/>
            <w:tcBorders>
              <w:top w:val="single" w:color="BFBFBF" w:sz="4"/>
              <w:left w:val="single" w:color="BFBFBF" w:sz="4"/>
              <w:bottom w:val="single" w:color="BFBFBF" w:sz="4"/>
              <w:right w:val="single" w:color="BFBFBF" w:sz="4"/>
            </w:tcBorders>
            <w:shd w:fill="2E5A3F" w:color="auto" w:val="clear"/>
            <w:tcMar>
              <w:top w:type="dxa" w:w="50"/>
              <w:left w:type="dxa" w:w="90"/>
              <w:bottom w:type="dxa" w:w="50"/>
              <w:right w:type="dxa" w:w="90"/>
            </w:tcMar>
          </w:tcPr>
          <w:p>
            <w:r>
              <w:rPr>
                <w:b/>
                <w:bCs/>
                <w:color w:val="FFFFFF"/>
                <w:sz w:val="18"/>
                <w:szCs w:val="18"/>
              </w:rPr>
              <w:t xml:space="preserve">Data</w:t>
            </w:r>
          </w:p>
        </w:tc>
        <w:tc>
          <w:tcPr>
            <w:tcW w:type="dxa" w:w="3300"/>
            <w:tcBorders>
              <w:top w:val="single" w:color="BFBFBF" w:sz="4"/>
              <w:left w:val="single" w:color="BFBFBF" w:sz="4"/>
              <w:bottom w:val="single" w:color="BFBFBF" w:sz="4"/>
              <w:right w:val="single" w:color="BFBFBF" w:sz="4"/>
            </w:tcBorders>
            <w:shd w:fill="2E5A3F" w:color="auto" w:val="clear"/>
            <w:tcMar>
              <w:top w:type="dxa" w:w="50"/>
              <w:left w:type="dxa" w:w="90"/>
              <w:bottom w:type="dxa" w:w="50"/>
              <w:right w:type="dxa" w:w="90"/>
            </w:tcMar>
          </w:tcPr>
          <w:p>
            <w:r>
              <w:rPr>
                <w:b/>
                <w:bCs/>
                <w:color w:val="FFFFFF"/>
                <w:sz w:val="18"/>
                <w:szCs w:val="18"/>
              </w:rPr>
              <w:t xml:space="preserve">Method</w:t>
            </w:r>
          </w:p>
        </w:tc>
        <w:tc>
          <w:tcPr>
            <w:tcW w:type="dxa" w:w="2260"/>
            <w:tcBorders>
              <w:top w:val="single" w:color="BFBFBF" w:sz="4"/>
              <w:left w:val="single" w:color="BFBFBF" w:sz="4"/>
              <w:bottom w:val="single" w:color="BFBFBF" w:sz="4"/>
              <w:right w:val="single" w:color="BFBFBF" w:sz="4"/>
            </w:tcBorders>
            <w:shd w:fill="2E5A3F" w:color="auto" w:val="clear"/>
            <w:tcMar>
              <w:top w:type="dxa" w:w="50"/>
              <w:left w:type="dxa" w:w="90"/>
              <w:bottom w:type="dxa" w:w="50"/>
              <w:right w:type="dxa" w:w="90"/>
            </w:tcMar>
          </w:tcPr>
          <w:p>
            <w:r>
              <w:rPr>
                <w:b/>
                <w:bCs/>
                <w:color w:val="FFFFFF"/>
                <w:sz w:val="18"/>
                <w:szCs w:val="18"/>
              </w:rPr>
              <w:t xml:space="preserve">Evaluation</w:t>
            </w:r>
          </w:p>
        </w:tc>
      </w:tr>
      <w:tr>
        <w:trPr>
          <w:tblHeader w:val="false"/>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RQ1: crown delineation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RGB; LiDAR CHM; hyperspectral</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DeepForest and Detectree2 (pretrained and fine-tuned); SAM and SAM 2 zero-shot, then guided by LiDAR tree-top prompts, a 2 m height filter and a hyperspectral vegetation mask</w:t>
            </w:r>
          </w:p>
        </w:tc>
        <w:tc>
          <w:tcPr>
            <w:tcW w:type="dxa" w:w="2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Detection rate against 517 field trees; precision, recall, F1 and IoU against 150–300 reference crowns; errors by crown size and setting</w:t>
            </w:r>
          </w:p>
        </w:tc>
      </w:tr>
      <w:tr>
        <w:trPr>
          <w:tblHeader w:val="false"/>
        </w:trPr>
        <w:tc>
          <w:tcPr>
            <w:tcW w:type="dxa" w:w="1500"/>
            <w:tcBorders>
              <w:top w:val="single" w:color="BFBFBF" w:sz="4"/>
              <w:left w:val="single" w:color="BFBFBF" w:sz="4"/>
              <w:bottom w:val="single" w:color="BFBFBF" w:sz="4"/>
              <w:right w:val="single" w:color="BFBFBF" w:sz="4"/>
            </w:tcBorders>
            <w:shd w:fill="F3F7F4" w:color="auto" w:val="clear"/>
            <w:tcMar>
              <w:top w:type="dxa" w:w="50"/>
              <w:left w:type="dxa" w:w="90"/>
              <w:bottom w:type="dxa" w:w="50"/>
              <w:right w:type="dxa" w:w="90"/>
            </w:tcMar>
          </w:tcPr>
          <w:p>
            <w:r>
              <w:rPr>
                <w:b w:val="false"/>
                <w:bCs w:val="false"/>
                <w:sz w:val="18"/>
                <w:szCs w:val="18"/>
              </w:rPr>
              <w:t xml:space="preserve">RQ2: species classification</w:t>
            </w:r>
          </w:p>
        </w:tc>
        <w:tc>
          <w:tcPr>
            <w:tcW w:type="dxa" w:w="2300"/>
            <w:tcBorders>
              <w:top w:val="single" w:color="BFBFBF" w:sz="4"/>
              <w:left w:val="single" w:color="BFBFBF" w:sz="4"/>
              <w:bottom w:val="single" w:color="BFBFBF" w:sz="4"/>
              <w:right w:val="single" w:color="BFBFBF" w:sz="4"/>
            </w:tcBorders>
            <w:shd w:fill="F3F7F4" w:color="auto" w:val="clear"/>
            <w:tcMar>
              <w:top w:type="dxa" w:w="50"/>
              <w:left w:type="dxa" w:w="90"/>
              <w:bottom w:type="dxa" w:w="50"/>
              <w:right w:type="dxa" w:w="90"/>
            </w:tcMar>
          </w:tcPr>
          <w:p>
            <w:r>
              <w:rPr>
                <w:b w:val="false"/>
                <w:bCs w:val="false"/>
                <w:sz w:val="18"/>
                <w:szCs w:val="18"/>
              </w:rPr>
              <w:t xml:space="preserve">Hyperspectral; LiDAR metrics; RGB texture</w:t>
            </w:r>
          </w:p>
        </w:tc>
        <w:tc>
          <w:tcPr>
            <w:tcW w:type="dxa" w:w="3300"/>
            <w:tcBorders>
              <w:top w:val="single" w:color="BFBFBF" w:sz="4"/>
              <w:left w:val="single" w:color="BFBFBF" w:sz="4"/>
              <w:bottom w:val="single" w:color="BFBFBF" w:sz="4"/>
              <w:right w:val="single" w:color="BFBFBF" w:sz="4"/>
            </w:tcBorders>
            <w:shd w:fill="F3F7F4" w:color="auto" w:val="clear"/>
            <w:tcMar>
              <w:top w:type="dxa" w:w="50"/>
              <w:left w:type="dxa" w:w="90"/>
              <w:bottom w:type="dxa" w:w="50"/>
              <w:right w:type="dxa" w:w="90"/>
            </w:tcMar>
          </w:tcPr>
          <w:p>
            <w:r>
              <w:rPr>
                <w:b w:val="false"/>
                <w:bCs w:val="false"/>
                <w:sz w:val="18"/>
                <w:szCs w:val="18"/>
              </w:rPr>
              <w:t xml:space="preserve">Crown-level mean spectra, vegetation indices and principal components; random forest, SVM and 1D-CNN; sensor ablation</w:t>
            </w:r>
          </w:p>
        </w:tc>
        <w:tc>
          <w:tcPr>
            <w:tcW w:type="dxa" w:w="2260"/>
            <w:tcBorders>
              <w:top w:val="single" w:color="BFBFBF" w:sz="4"/>
              <w:left w:val="single" w:color="BFBFBF" w:sz="4"/>
              <w:bottom w:val="single" w:color="BFBFBF" w:sz="4"/>
              <w:right w:val="single" w:color="BFBFBF" w:sz="4"/>
            </w:tcBorders>
            <w:shd w:fill="F3F7F4" w:color="auto" w:val="clear"/>
            <w:tcMar>
              <w:top w:type="dxa" w:w="50"/>
              <w:left w:type="dxa" w:w="90"/>
              <w:bottom w:type="dxa" w:w="50"/>
              <w:right w:type="dxa" w:w="90"/>
            </w:tcMar>
          </w:tcPr>
          <w:p>
            <w:r>
              <w:rPr>
                <w:b w:val="false"/>
                <w:bCs w:val="false"/>
                <w:sz w:val="18"/>
                <w:szCs w:val="18"/>
              </w:rPr>
              <w:t xml:space="preserve">Overall accuracy, per-class F1 and kappa under spatial cross-validation</w:t>
            </w:r>
          </w:p>
        </w:tc>
      </w:tr>
      <w:tr>
        <w:trPr>
          <w:tblHeader w:val="false"/>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RQ3: change (optional)</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Multi-year NEON RGB and CHM; USFS unit boundaries</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Apply best workflow to earlier years; compare redcedar change by unit</w:t>
            </w:r>
          </w:p>
        </w:tc>
        <w:tc>
          <w:tcPr>
            <w:tcW w:type="dxa" w:w="2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Change in redcedar count and cover; burned vs. unburned comparison</w:t>
            </w:r>
          </w:p>
        </w:tc>
      </w:tr>
    </w:tbl>
    <w:p>
      <w:pPr>
        <w:pStyle w:val="Heading2"/>
        <w:spacing w:after="80" w:before="160"/>
      </w:pPr>
      <w:r>
        <w:rPr>
          <w:b/>
          <w:bCs/>
          <w:color w:val="2E5A3F"/>
          <w:sz w:val="22"/>
          <w:szCs w:val="22"/>
        </w:rPr>
        <w:t xml:space="preserve">5.3 Rigor of the analysis</w:t>
      </w:r>
    </w:p>
    <w:p>
      <w:pPr>
        <w:spacing w:after="120" w:line="288"/>
        <w:jc w:val="both"/>
      </w:pPr>
      <w:r>
        <w:t xml:space="preserve">Several choices are made to keep the results trustworthy. Accuracy will be reported with standard measures for remotely sensed maps, including error matrices and kappa (Congalton, 1991), and with intersection-over-union for crown outlines, following the NEON crown benchmark (Weinstein et al., 2021). Field stems and image crowns are different kinds of measurement, so I will use both: field stems test whether real trees are found, and hand-drawn crowns test how well their outlines match. Because nearby trees resemble each other, random training and test splits would overstate accuracy, so classifiers will be trained and tested in spatially separate blocks (Roberts et al., 2017; Ploton et al., 2020). Random forest (Breiman, 2001) and support vector machines (Cortes &amp; Vapnik, 1995) provide established baselines against which the 1D-CNN can be compared. Finally, a sensor ablation, in which the same analysis is repeated with each data source removed, directly measures what each sensor contributes.</w:t>
      </w:r>
    </w:p>
    <w:p>
      <w:pPr>
        <w:pStyle w:val="Heading2"/>
        <w:spacing w:after="80" w:before="160"/>
      </w:pPr>
      <w:r>
        <w:rPr>
          <w:b/>
          <w:bCs/>
          <w:color w:val="2E5A3F"/>
          <w:sz w:val="22"/>
          <w:szCs w:val="22"/>
        </w:rPr>
        <w:t xml:space="preserve">5.4 Data management and reproducibility</w:t>
      </w:r>
    </w:p>
    <w:p>
      <w:pPr>
        <w:spacing w:after="120" w:line="288"/>
        <w:jc w:val="both"/>
      </w:pPr>
      <w:r>
        <w:t xml:space="preserve">All inputs are public NEON products, and I will record the product version, release and download date for each dataset. Processing will be written as scripts in Python (with R for selected LiDAR steps) and kept under version control in a Git repository, so that every result can be traced to the code and data that produced it. Model settings, prompts and random seeds will be saved with the outputs. The reference crowns and species labels will be stored as GeoPackage files in the same coordinate system as the NEON data (UTM zone 14N) and, subject to NEON’s data policy, shared at the end of the project together with the code.</w:t>
      </w:r>
    </w:p>
    <w:p>
      <w:pPr>
        <w:pStyle w:val="Heading1"/>
        <w:spacing w:after="110" w:before="240"/>
      </w:pPr>
      <w:r>
        <w:rPr>
          <w:b/>
          <w:bCs/>
          <w:color w:val="2E5A3F"/>
          <w:sz w:val="25"/>
          <w:szCs w:val="25"/>
        </w:rPr>
        <w:t xml:space="preserve">6. Structure and Organization</w:t>
      </w:r>
    </w:p>
    <w:p>
      <w:pPr>
        <w:spacing w:after="120" w:line="288"/>
        <w:jc w:val="both"/>
      </w:pPr>
      <w:r>
        <w:t xml:space="preserve">The project follows a linear sequence in which each phase produces the inputs for the next (Figure 2). Data preparation feeds crown delineation, the reference dataset feeds accuracy assessment, and the best delineation feeds species classification and, if time allows, change mapping.</w:t>
      </w:r>
    </w:p>
    <w:p>
      <w:pPr>
        <w:spacing w:after="20" w:before="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28900"/>
                    </a:xfrm>
                    <a:prstGeom prst="rect">
                      <a:avLst/>
                    </a:prstGeom>
                  </pic:spPr>
                </pic:pic>
              </a:graphicData>
            </a:graphic>
          </wp:inline>
        </w:drawing>
      </w:r>
    </w:p>
    <w:p>
      <w:pPr>
        <w:spacing w:after="160" w:before="60"/>
        <w:jc w:val="center"/>
      </w:pPr>
      <w:r>
        <w:rPr>
          <w:i/>
          <w:iCs/>
          <w:color w:val="555555"/>
          <w:sz w:val="18"/>
          <w:szCs w:val="18"/>
        </w:rPr>
        <w:t xml:space="preserve">Figure 2. Research workflow from NEON inputs to final products; steps using hyperspectral data are shown in purple.</w:t>
      </w:r>
    </w:p>
    <w:p>
      <w:pPr>
        <w:spacing w:after="120" w:line="288"/>
        <w:jc w:val="both"/>
      </w:pPr>
      <w:r>
        <w:t xml:space="preserve">The work is organized into five phases over twelve months: data preparation and literature review (months 1–2); reference crowns and delineation experiments for RQ1 (months 3–5); species classification and sensor comparison for RQ2 (months 6–8); the optional change analysis and synthesis (month 9); and writing, revision and defense (months 10–12). RQ1 is the core of the thesis, and later phases can be narrowed without affecting it.</w:t>
      </w:r>
    </w:p>
    <w:p>
      <w:pPr>
        <w:pStyle w:val="Heading1"/>
        <w:spacing w:after="110" w:before="240"/>
      </w:pPr>
      <w:r>
        <w:rPr>
          <w:b/>
          <w:bCs/>
          <w:color w:val="2E5A3F"/>
          <w:sz w:val="25"/>
          <w:szCs w:val="25"/>
        </w:rPr>
        <w:t xml:space="preserve">7. Expected Outcomes and Broader Impacts</w:t>
      </w:r>
    </w:p>
    <w:p>
      <w:pPr>
        <w:pStyle w:val="ListParagraph"/>
        <w:numPr>
          <w:ilvl w:val="0"/>
          <w:numId w:val="2"/>
        </w:numPr>
        <w:spacing w:after="70" w:line="276"/>
        <w:jc w:val="both"/>
      </w:pPr>
      <w:r>
        <w:rPr>
          <w:b/>
          <w:bCs/>
        </w:rPr>
        <w:t xml:space="preserve">Method evidence. </w:t>
      </w:r>
      <w:r>
        <w:t xml:space="preserve">A direct comparison of supervised deep learning and foundation models for tree crowns in open savanna, and a test of whether LiDAR and hyperspectral guidance can make general models work in a new landscape.</w:t>
      </w:r>
    </w:p>
    <w:p>
      <w:pPr>
        <w:pStyle w:val="ListParagraph"/>
        <w:numPr>
          <w:ilvl w:val="0"/>
          <w:numId w:val="2"/>
        </w:numPr>
        <w:spacing w:after="70" w:line="276"/>
        <w:jc w:val="both"/>
      </w:pPr>
      <w:r>
        <w:rPr>
          <w:b/>
          <w:bCs/>
        </w:rPr>
        <w:t xml:space="preserve">Sensor evidence. </w:t>
      </w:r>
      <w:r>
        <w:t xml:space="preserve">A measure of how much RGB, LiDAR and hyperspectral data each add to crown delineation and species identification, which can guide sensor choices in similar studies.</w:t>
      </w:r>
    </w:p>
    <w:p>
      <w:pPr>
        <w:pStyle w:val="ListParagraph"/>
        <w:numPr>
          <w:ilvl w:val="0"/>
          <w:numId w:val="2"/>
        </w:numPr>
        <w:spacing w:after="70" w:line="276"/>
        <w:jc w:val="both"/>
      </w:pPr>
      <w:r>
        <w:rPr>
          <w:b/>
          <w:bCs/>
        </w:rPr>
        <w:t xml:space="preserve">A new reference dataset. </w:t>
      </w:r>
      <w:r>
        <w:t xml:space="preserve">Checked crowns and species labels for CLBJ that fill the gap in the NEON benchmark and can be shared for future work.</w:t>
      </w:r>
    </w:p>
    <w:p>
      <w:pPr>
        <w:pStyle w:val="ListParagraph"/>
        <w:numPr>
          <w:ilvl w:val="0"/>
          <w:numId w:val="2"/>
        </w:numPr>
        <w:spacing w:after="70" w:line="276"/>
        <w:jc w:val="both"/>
      </w:pPr>
      <w:r>
        <w:rPr>
          <w:b/>
          <w:bCs/>
        </w:rPr>
        <w:t xml:space="preserve">Management value. </w:t>
      </w:r>
      <w:r>
        <w:t xml:space="preserve">Tree-level maps of oaks and redcedar that the US Forest Service can use to target cedar removal and plan prescribed burns at LBJ.</w:t>
      </w:r>
    </w:p>
    <w:p>
      <w:pPr>
        <w:pStyle w:val="ListParagraph"/>
        <w:numPr>
          <w:ilvl w:val="0"/>
          <w:numId w:val="2"/>
        </w:numPr>
        <w:spacing w:after="70" w:line="276"/>
        <w:jc w:val="both"/>
      </w:pPr>
      <w:r>
        <w:rPr>
          <w:b/>
          <w:bCs/>
        </w:rPr>
        <w:t xml:space="preserve">Transferability. </w:t>
      </w:r>
      <w:r>
        <w:t xml:space="preserve">Because NEON collects the same data at grassland and savanna sites across the country, an open and reproducible workflow developed here can be applied elsewhere.</w:t>
      </w:r>
    </w:p>
    <w:p>
      <w:pPr>
        <w:pStyle w:val="Heading1"/>
        <w:spacing w:after="110" w:before="240"/>
      </w:pPr>
      <w:r>
        <w:rPr>
          <w:b/>
          <w:bCs/>
          <w:color w:val="2E5A3F"/>
          <w:sz w:val="25"/>
          <w:szCs w:val="25"/>
        </w:rPr>
        <w:t xml:space="preserve">8. Assumptions and Limitations</w:t>
      </w:r>
    </w:p>
    <w:p>
      <w:pPr>
        <w:spacing w:after="120" w:line="288"/>
        <w:jc w:val="both"/>
      </w:pPr>
      <w:r>
        <w:t xml:space="preserve">The framework assumes that NEON field records and imagery from the same period describe the same trees, which may not hold where trees died or were cleared between survey and flight. Hyperspectral pixels are 1 m, so very small crowns may contain too few pixels for reliable classification. The 2022–2025 hyperspectral data are provisional and may be revised by NEON, so I will record the version used. Results from a single site may not transfer directly to other savannas, and running SAM and SAM 2 on large areas requires GPU resources. These limits are acknowledged in the design, and the core comparison in RQ1 does not depend on any of them.</w:t>
      </w:r>
    </w:p>
    <w:p>
      <w:pPr>
        <w:pStyle w:val="Heading1"/>
        <w:spacing w:after="110" w:before="240"/>
      </w:pPr>
      <w:r>
        <w:rPr>
          <w:b/>
          <w:bCs/>
          <w:color w:val="2E5A3F"/>
          <w:sz w:val="25"/>
          <w:szCs w:val="25"/>
        </w:rPr>
        <w:t xml:space="preserve">References</w:t>
      </w:r>
    </w:p>
    <w:p>
      <w:pPr>
        <w:spacing w:after="70"/>
        <w:ind w:left="360" w:hanging="360"/>
        <w:jc w:val="left"/>
      </w:pPr>
      <w:r>
        <w:rPr>
          <w:sz w:val="19"/>
          <w:szCs w:val="19"/>
        </w:rPr>
        <w:t xml:space="preserve">Archer, S. R., Andersen, E. M., Predick, K. I., Schwinning, S., Steidl, R. J., &amp; Woods, S. R. (2017). Woody plant encroachment: Causes and consequences. In D. D. Briske (Ed.), Rangeland systems: Processes, management and challenges (pp. 25–84). Springer.</w:t>
      </w:r>
    </w:p>
    <w:p>
      <w:pPr>
        <w:spacing w:after="70"/>
        <w:ind w:left="360" w:hanging="360"/>
        <w:jc w:val="left"/>
      </w:pPr>
      <w:r>
        <w:rPr>
          <w:sz w:val="19"/>
          <w:szCs w:val="19"/>
        </w:rPr>
        <w:t xml:space="preserve">Asner, G. P. (1998). Biophysical and biochemical sources of variability in canopy reflectance. Remote Sensing of Environment, 64(3), 234–253.</w:t>
      </w:r>
    </w:p>
    <w:p>
      <w:pPr>
        <w:spacing w:after="70"/>
        <w:ind w:left="360" w:hanging="360"/>
        <w:jc w:val="left"/>
      </w:pPr>
      <w:r>
        <w:rPr>
          <w:sz w:val="19"/>
          <w:szCs w:val="19"/>
        </w:rPr>
        <w:t xml:space="preserve">Ball, J. G. C., et al. (2023). Accurate delineation of individual tree crowns in tropical forests from aerial RGB imagery using Mask R-CNN. Remote Sensing in Ecology and Conservation, 9(5), 641–655.</w:t>
      </w:r>
    </w:p>
    <w:p>
      <w:pPr>
        <w:spacing w:after="70"/>
        <w:ind w:left="360" w:hanging="360"/>
        <w:jc w:val="left"/>
      </w:pPr>
      <w:r>
        <w:rPr>
          <w:sz w:val="19"/>
          <w:szCs w:val="19"/>
        </w:rPr>
        <w:t xml:space="preserve">Blaschke, T. (2010). Object based image analysis for remote sensing. ISPRS Journal of Photogrammetry and Remote Sensing, 65(1), 2–16.</w:t>
      </w:r>
    </w:p>
    <w:p>
      <w:pPr>
        <w:spacing w:after="70"/>
        <w:ind w:left="360" w:hanging="360"/>
        <w:jc w:val="left"/>
      </w:pPr>
      <w:r>
        <w:rPr>
          <w:sz w:val="19"/>
          <w:szCs w:val="19"/>
        </w:rPr>
        <w:t xml:space="preserve">Bommasani, R., et al. (2021). On the opportunities and risks of foundation models. arXiv:2108.07258.</w:t>
      </w:r>
    </w:p>
    <w:p>
      <w:pPr>
        <w:spacing w:after="70"/>
        <w:ind w:left="360" w:hanging="360"/>
        <w:jc w:val="left"/>
      </w:pPr>
      <w:r>
        <w:rPr>
          <w:sz w:val="19"/>
          <w:szCs w:val="19"/>
        </w:rPr>
        <w:t xml:space="preserve">Breiman, L. (2001). Random forests. Machine Learning, 45(1), 5–32.</w:t>
      </w:r>
    </w:p>
    <w:p>
      <w:pPr>
        <w:spacing w:after="70"/>
        <w:ind w:left="360" w:hanging="360"/>
        <w:jc w:val="left"/>
      </w:pPr>
      <w:r>
        <w:rPr>
          <w:sz w:val="19"/>
          <w:szCs w:val="19"/>
        </w:rPr>
        <w:t xml:space="preserve">Briggs, J. M., Knapp, A. K., Blair, J. M., Heisler, J. L., Hoch, G. A., Lett, M. S., &amp; McCarron, J. K. (2005). An ecosystem in transition: Causes and consequences of the conversion of mesic grassland to shrubland. BioScience, 55(3), 243–254.</w:t>
      </w:r>
    </w:p>
    <w:p>
      <w:pPr>
        <w:spacing w:after="70"/>
        <w:ind w:left="360" w:hanging="360"/>
        <w:jc w:val="left"/>
      </w:pPr>
      <w:r>
        <w:rPr>
          <w:sz w:val="19"/>
          <w:szCs w:val="19"/>
        </w:rPr>
        <w:t xml:space="preserve">Congalton, R. G. (1991). A review of assessing the accuracy of classifications of remotely sensed data. Remote Sensing of Environment, 37(1), 35–46.</w:t>
      </w:r>
    </w:p>
    <w:p>
      <w:pPr>
        <w:spacing w:after="70"/>
        <w:ind w:left="360" w:hanging="360"/>
        <w:jc w:val="left"/>
      </w:pPr>
      <w:r>
        <w:rPr>
          <w:sz w:val="19"/>
          <w:szCs w:val="19"/>
        </w:rPr>
        <w:t xml:space="preserve">Cortes, C., &amp; Vapnik, V. (1995). Support-vector networks. Machine Learning, 20(3), 273–297.</w:t>
      </w:r>
    </w:p>
    <w:p>
      <w:pPr>
        <w:spacing w:after="70"/>
        <w:ind w:left="360" w:hanging="360"/>
        <w:jc w:val="left"/>
      </w:pPr>
      <w:r>
        <w:rPr>
          <w:sz w:val="19"/>
          <w:szCs w:val="19"/>
        </w:rPr>
        <w:t xml:space="preserve">Cross Timbers Project. (n.d.). LBJ National Grasslands, Texas. University of Arkansas. https://xtimbers.uark.edu/?p=27098</w:t>
      </w:r>
    </w:p>
    <w:p>
      <w:pPr>
        <w:spacing w:after="70"/>
        <w:ind w:left="360" w:hanging="360"/>
        <w:jc w:val="left"/>
      </w:pPr>
      <w:r>
        <w:rPr>
          <w:sz w:val="19"/>
          <w:szCs w:val="19"/>
        </w:rPr>
        <w:t xml:space="preserve">Dalponte, M., &amp; Coomes, D. A. (2016). Tree-centric mapping of forest carbon density from airborne laser scanning and hyperspectral data. Methods in Ecology and Evolution, 7(10), 1236–1245.</w:t>
      </w:r>
    </w:p>
    <w:p>
      <w:pPr>
        <w:spacing w:after="70"/>
        <w:ind w:left="360" w:hanging="360"/>
        <w:jc w:val="left"/>
      </w:pPr>
      <w:r>
        <w:rPr>
          <w:sz w:val="19"/>
          <w:szCs w:val="19"/>
        </w:rPr>
        <w:t xml:space="preserve">Dong, P., &amp; Chen, Q. (2018). LiDAR remote sensing and applications. CRC Press.</w:t>
      </w:r>
    </w:p>
    <w:p>
      <w:pPr>
        <w:spacing w:after="70"/>
        <w:ind w:left="360" w:hanging="360"/>
        <w:jc w:val="left"/>
      </w:pPr>
      <w:r>
        <w:rPr>
          <w:sz w:val="19"/>
          <w:szCs w:val="19"/>
        </w:rPr>
        <w:t xml:space="preserve">Fassnacht, F. E., et al. (2016). Review of studies on tree species classification from remotely sensed data. Remote Sensing of Environment, 186, 64–87.</w:t>
      </w:r>
    </w:p>
    <w:p>
      <w:pPr>
        <w:spacing w:after="70"/>
        <w:ind w:left="360" w:hanging="360"/>
        <w:jc w:val="left"/>
      </w:pPr>
      <w:r>
        <w:rPr>
          <w:sz w:val="19"/>
          <w:szCs w:val="19"/>
        </w:rPr>
        <w:t xml:space="preserve">He, K., Gkioxari, G., Dollár, P., &amp; Girshick, R. (2017). Mask R-CNN. Proceedings of the IEEE International Conference on Computer Vision (ICCV), 2961–2969.</w:t>
      </w:r>
    </w:p>
    <w:p>
      <w:pPr>
        <w:spacing w:after="70"/>
        <w:ind w:left="360" w:hanging="360"/>
        <w:jc w:val="left"/>
      </w:pPr>
      <w:r>
        <w:rPr>
          <w:sz w:val="19"/>
          <w:szCs w:val="19"/>
        </w:rPr>
        <w:t xml:space="preserve">Hoagland, B. W., Butler, I. H., Johnson, F. L., &amp; Glenn, S. (1999). The Cross Timbers. In R. C. Anderson, J. S. Fralish, &amp; J. M. Baskin (Eds.), Savannas, barrens, and rock outcrop plant communities of North America (pp. 231–245). Cambridge University Press.</w:t>
      </w:r>
    </w:p>
    <w:p>
      <w:pPr>
        <w:spacing w:after="70"/>
        <w:ind w:left="360" w:hanging="360"/>
        <w:jc w:val="left"/>
      </w:pPr>
      <w:r>
        <w:rPr>
          <w:sz w:val="19"/>
          <w:szCs w:val="19"/>
        </w:rPr>
        <w:t xml:space="preserve">Kampe, T. U., Johnson, B. R., Kuester, M., &amp; Keller, M. (2010). NEON: The first continental-scale ecological observatory with airborne remote sensing of vegetation canopy biochemistry and structure. Journal of Applied Remote Sensing, 4(1), 043510.</w:t>
      </w:r>
    </w:p>
    <w:p>
      <w:pPr>
        <w:spacing w:after="70"/>
        <w:ind w:left="360" w:hanging="360"/>
        <w:jc w:val="left"/>
      </w:pPr>
      <w:r>
        <w:rPr>
          <w:sz w:val="19"/>
          <w:szCs w:val="19"/>
        </w:rPr>
        <w:t xml:space="preserve">Ke, Y., &amp; Quackenbush, L. J. (2011). A review of methods for automatic individual tree-crown detection and delineation from passive remote sensing. International Journal of Remote Sensing, 32(17), 4725–4747.</w:t>
      </w:r>
    </w:p>
    <w:p>
      <w:pPr>
        <w:spacing w:after="70"/>
        <w:ind w:left="360" w:hanging="360"/>
        <w:jc w:val="left"/>
      </w:pPr>
      <w:r>
        <w:rPr>
          <w:sz w:val="19"/>
          <w:szCs w:val="19"/>
        </w:rPr>
        <w:t xml:space="preserve">Kirillov, A., et al. (2023). Segment anything. Proceedings of the IEEE/CVF International Conference on Computer Vision (ICCV), 4015–4026.</w:t>
      </w:r>
    </w:p>
    <w:p>
      <w:pPr>
        <w:spacing w:after="70"/>
        <w:ind w:left="360" w:hanging="360"/>
        <w:jc w:val="left"/>
      </w:pPr>
      <w:r>
        <w:rPr>
          <w:sz w:val="19"/>
          <w:szCs w:val="19"/>
        </w:rPr>
        <w:t xml:space="preserve">Lin, T.-Y., Goyal, P., Girshick, R., He, K., &amp; Dollár, P. (2017). Focal loss for dense object detection. Proceedings of the IEEE International Conference on Computer Vision (ICCV), 2980–2988.</w:t>
      </w:r>
    </w:p>
    <w:p>
      <w:pPr>
        <w:spacing w:after="70"/>
        <w:ind w:left="360" w:hanging="360"/>
        <w:jc w:val="left"/>
      </w:pPr>
      <w:r>
        <w:rPr>
          <w:sz w:val="19"/>
          <w:szCs w:val="19"/>
        </w:rPr>
        <w:t xml:space="preserve">Marconi, S., Weinstein, B. G., et al. (2022). Continental-scale hyperspectral tree species classification in the United States National Ecological Observatory Network. Remote Sensing of Environment, 282, 113264.</w:t>
      </w:r>
    </w:p>
    <w:p>
      <w:pPr>
        <w:spacing w:after="70"/>
        <w:ind w:left="360" w:hanging="360"/>
        <w:jc w:val="left"/>
      </w:pPr>
      <w:r>
        <w:rPr>
          <w:sz w:val="19"/>
          <w:szCs w:val="19"/>
        </w:rPr>
        <w:t xml:space="preserve">NEON (National Ecological Observatory Network). (2026). Vegetation structure (DP1.10098.001), RELEASE-2026. https://doi.org/10.48443/pypa-qf12</w:t>
      </w:r>
    </w:p>
    <w:p>
      <w:pPr>
        <w:spacing w:after="70"/>
        <w:ind w:left="360" w:hanging="360"/>
        <w:jc w:val="left"/>
      </w:pPr>
      <w:r>
        <w:rPr>
          <w:sz w:val="19"/>
          <w:szCs w:val="19"/>
        </w:rPr>
        <w:t xml:space="preserve">Osco, L. P., Wu, Q., de Lemos, E. L., et al. (2023). The Segment Anything Model (SAM) for remote sensing applications: From zero to one shot. International Journal of Applied Earth Observation and Geoinformation, 124, 103540.</w:t>
      </w:r>
    </w:p>
    <w:p>
      <w:pPr>
        <w:spacing w:after="70"/>
        <w:ind w:left="360" w:hanging="360"/>
        <w:jc w:val="left"/>
      </w:pPr>
      <w:r>
        <w:rPr>
          <w:sz w:val="19"/>
          <w:szCs w:val="19"/>
        </w:rPr>
        <w:t xml:space="preserve">Ploton, P., et al. (2020). Spatial validation reveals poor predictive performance of large-scale ecological mapping models. Nature Communications, 11, 4540.</w:t>
      </w:r>
    </w:p>
    <w:p>
      <w:pPr>
        <w:spacing w:after="70"/>
        <w:ind w:left="360" w:hanging="360"/>
        <w:jc w:val="left"/>
      </w:pPr>
      <w:r>
        <w:rPr>
          <w:sz w:val="19"/>
          <w:szCs w:val="19"/>
        </w:rPr>
        <w:t xml:space="preserve">Pohl, C., &amp; van Genderen, J. L. (1998). Multisensor image fusion in remote sensing: Concepts, methods and applications. International Journal of Remote Sensing, 19(5), 823–854.</w:t>
      </w:r>
    </w:p>
    <w:p>
      <w:pPr>
        <w:spacing w:after="70"/>
        <w:ind w:left="360" w:hanging="360"/>
        <w:jc w:val="left"/>
      </w:pPr>
      <w:r>
        <w:rPr>
          <w:sz w:val="19"/>
          <w:szCs w:val="19"/>
        </w:rPr>
        <w:t xml:space="preserve">Popescu, S. C., &amp; Wynne, R. H. (2004). Seeing the trees in the forest: Using lidar and multispectral data fusion with local filtering and variable window size for estimating tree height. Photogrammetric Engineering &amp; Remote Sensing, 70(5), 589–604.</w:t>
      </w:r>
    </w:p>
    <w:p>
      <w:pPr>
        <w:spacing w:after="70"/>
        <w:ind w:left="360" w:hanging="360"/>
        <w:jc w:val="left"/>
      </w:pPr>
      <w:r>
        <w:rPr>
          <w:sz w:val="19"/>
          <w:szCs w:val="19"/>
        </w:rPr>
        <w:t xml:space="preserve">Ratajczak, Z., Nippert, J. B., &amp; Collins, S. L. (2012). Woody encroachment decreases diversity across North American grasslands and savannas. Ecology, 93(4), 697–703.</w:t>
      </w:r>
    </w:p>
    <w:p>
      <w:pPr>
        <w:spacing w:after="70"/>
        <w:ind w:left="360" w:hanging="360"/>
        <w:jc w:val="left"/>
      </w:pPr>
      <w:r>
        <w:rPr>
          <w:sz w:val="19"/>
          <w:szCs w:val="19"/>
        </w:rPr>
        <w:t xml:space="preserve">Ravi, N., et al. (2024). SAM 2: Segment anything in images and videos. arXiv:2408.00714.</w:t>
      </w:r>
    </w:p>
    <w:p>
      <w:pPr>
        <w:spacing w:after="70"/>
        <w:ind w:left="360" w:hanging="360"/>
        <w:jc w:val="left"/>
      </w:pPr>
      <w:r>
        <w:rPr>
          <w:sz w:val="19"/>
          <w:szCs w:val="19"/>
        </w:rPr>
        <w:t xml:space="preserve">Roberts, D. R., et al. (2017). Cross-validation strategies for data with temporal, spatial, hierarchical, or phylogenetic structure. Ecography, 40(8), 913–929.</w:t>
      </w:r>
    </w:p>
    <w:p>
      <w:pPr>
        <w:spacing w:after="70"/>
        <w:ind w:left="360" w:hanging="360"/>
        <w:jc w:val="left"/>
      </w:pPr>
      <w:r>
        <w:rPr>
          <w:sz w:val="19"/>
          <w:szCs w:val="19"/>
        </w:rPr>
        <w:t xml:space="preserve">Roussel, J.-R., et al. (2020). lidR: An R package for analysis of Airborne Laser Scanning (ALS) data. Remote Sensing of Environment, 251, 112061.</w:t>
      </w:r>
    </w:p>
    <w:p>
      <w:pPr>
        <w:spacing w:after="70"/>
        <w:ind w:left="360" w:hanging="360"/>
        <w:jc w:val="left"/>
      </w:pPr>
      <w:r>
        <w:rPr>
          <w:sz w:val="19"/>
          <w:szCs w:val="19"/>
        </w:rPr>
        <w:t xml:space="preserve">Scholl, V. M., et al. (2021). Fusion neural networks for plant classification: Learning to combine RGB, hyperspectral, and lidar data. PeerJ, 9, e11790.</w:t>
      </w:r>
    </w:p>
    <w:p>
      <w:pPr>
        <w:spacing w:after="70"/>
        <w:ind w:left="360" w:hanging="360"/>
        <w:jc w:val="left"/>
      </w:pPr>
      <w:r>
        <w:rPr>
          <w:sz w:val="19"/>
          <w:szCs w:val="19"/>
        </w:rPr>
        <w:t xml:space="preserve">Teng, M., Ouaknine, A., Laliberté, E., Bengio, Y., Rolnick, D., &amp; Larochelle, H. (2025). Bringing SAM to new heights: Leveraging elevation data for tree crown segmentation from drone imagery. Advances in Neural Information Processing Systems (NeurIPS).</w:t>
      </w:r>
    </w:p>
    <w:p>
      <w:pPr>
        <w:spacing w:after="70"/>
        <w:ind w:left="360" w:hanging="360"/>
        <w:jc w:val="left"/>
      </w:pPr>
      <w:r>
        <w:rPr>
          <w:sz w:val="19"/>
          <w:szCs w:val="19"/>
        </w:rPr>
        <w:t xml:space="preserve">Twidwell, D., Rogers, W. E., Fuhlendorf, S. D., Wonkka, C. L., Engle, D. M., Weir, J. R., Kreuter, U. P., &amp; Taylor, C. A. (2013). The rising Great Plains fire campaign: Citizens’ response to woody plant encroachment. Frontiers in Ecology and the Environment, 11(s1), e64–e71.</w:t>
      </w:r>
    </w:p>
    <w:p>
      <w:pPr>
        <w:spacing w:after="70"/>
        <w:ind w:left="360" w:hanging="360"/>
        <w:jc w:val="left"/>
      </w:pPr>
      <w:r>
        <w:rPr>
          <w:sz w:val="19"/>
          <w:szCs w:val="19"/>
        </w:rPr>
        <w:t xml:space="preserve">USDA Forest Service. (2013). Prescribed burning of Denton Creek watershed to improve wildlife habitat and decrease hazardous fuels. National Forests and Grasslands in Texas. https://www.fs.usda.gov/r08/texas/projects/41418</w:t>
      </w:r>
    </w:p>
    <w:p>
      <w:pPr>
        <w:spacing w:after="70"/>
        <w:ind w:left="360" w:hanging="360"/>
        <w:jc w:val="left"/>
      </w:pPr>
      <w:r>
        <w:rPr>
          <w:sz w:val="19"/>
          <w:szCs w:val="19"/>
        </w:rPr>
        <w:t xml:space="preserve">Ustin, S. L., &amp; Gamon, J. A. (2010). Remote sensing of plant functional types. New Phytologist, 186(4), 795–816.</w:t>
      </w:r>
    </w:p>
    <w:p>
      <w:pPr>
        <w:spacing w:after="70"/>
        <w:ind w:left="360" w:hanging="360"/>
        <w:jc w:val="left"/>
      </w:pPr>
      <w:r>
        <w:rPr>
          <w:sz w:val="19"/>
          <w:szCs w:val="19"/>
        </w:rPr>
        <w:t xml:space="preserve">Van Auken, O. W. (2000). Shrub invasions of North American semiarid grasslands. Annual Review of Ecology and Systematics, 31, 197–215.</w:t>
      </w:r>
    </w:p>
    <w:p>
      <w:pPr>
        <w:spacing w:after="70"/>
        <w:ind w:left="360" w:hanging="360"/>
        <w:jc w:val="left"/>
      </w:pPr>
      <w:r>
        <w:rPr>
          <w:sz w:val="19"/>
          <w:szCs w:val="19"/>
        </w:rPr>
        <w:t xml:space="preserve">Wang, J., Xiao, X., Qin, Y., Dong, J., Geissler, G., Zhang, G., Cejda, N., Alikhani, B., &amp; Doughty, R. B. (2017). Mapping the dynamics of eastern redcedar encroachment into grasslands during 1984–2010 through PALSAR and time series Landsat images. Remote Sensing of Environment, 190, 233–246.</w:t>
      </w:r>
    </w:p>
    <w:p>
      <w:pPr>
        <w:spacing w:after="70"/>
        <w:ind w:left="360" w:hanging="360"/>
        <w:jc w:val="left"/>
      </w:pPr>
      <w:r>
        <w:rPr>
          <w:sz w:val="19"/>
          <w:szCs w:val="19"/>
        </w:rPr>
        <w:t xml:space="preserve">Weinstein, B. G., Marconi, S., Bohlman, S., Zare, A., &amp; White, E. (2019). Individual tree-crown detection in RGB imagery using semi-supervised deep learning neural networks. Remote Sensing, 11(11), 1309.</w:t>
      </w:r>
    </w:p>
    <w:p>
      <w:pPr>
        <w:spacing w:after="70"/>
        <w:ind w:left="360" w:hanging="360"/>
        <w:jc w:val="left"/>
      </w:pPr>
      <w:r>
        <w:rPr>
          <w:sz w:val="19"/>
          <w:szCs w:val="19"/>
        </w:rPr>
        <w:t xml:space="preserve">Weinstein, B. G., Marconi, S., Aubry-Kientz, M., Vincent, G., Senyondo, H., &amp; White, E. P. (2020). DeepForest: A Python package for RGB deep learning tree crown delineation. Methods in Ecology and Evolution, 11(12), 1743–1751.</w:t>
      </w:r>
    </w:p>
    <w:p>
      <w:pPr>
        <w:spacing w:after="70"/>
        <w:ind w:left="360" w:hanging="360"/>
        <w:jc w:val="left"/>
      </w:pPr>
      <w:r>
        <w:rPr>
          <w:sz w:val="19"/>
          <w:szCs w:val="19"/>
        </w:rPr>
        <w:t xml:space="preserve">Weinstein, B. G., et al. (2021). A benchmark dataset for canopy crown detection and delineation in co-registered airborne RGB, LiDAR and hyperspectral imagery from the National Ecological Observation Network. PLoS Computational Biology, 17(7), e1009180.</w:t>
      </w:r>
    </w:p>
    <w:p>
      <w:pPr>
        <w:spacing w:after="70"/>
        <w:ind w:left="360" w:hanging="360"/>
        <w:jc w:val="left"/>
      </w:pPr>
      <w:r>
        <w:rPr>
          <w:sz w:val="19"/>
          <w:szCs w:val="19"/>
        </w:rPr>
        <w:t xml:space="preserve">Wu, Q., &amp; Osco, L. P. (2023). samgeo: A Python package for segmenting geospatial data with the Segment Anything Model (SAM). Journal of Open Source Software, 8(89), 5663.</w:t>
      </w:r>
    </w:p>
    <w:p>
      <w:pPr>
        <w:spacing w:after="70"/>
        <w:ind w:left="360" w:hanging="360"/>
        <w:jc w:val="left"/>
      </w:pPr>
      <w:r>
        <w:rPr>
          <w:sz w:val="19"/>
          <w:szCs w:val="19"/>
        </w:rPr>
        <w:t xml:space="preserve">Zhen, Z., Quackenbush, L. J., &amp; Zhang, L. (2016). Trends in automatic individual tree crown detection and delineation—Evolution of LiDAR data. Remote Sensing, 8(4), 333.</w:t>
      </w:r>
    </w:p>
    <w:p>
      <w:pPr>
        <w:spacing w:after="70"/>
        <w:ind w:left="360" w:hanging="360"/>
        <w:jc w:val="left"/>
      </w:pPr>
      <w:r>
        <w:rPr>
          <w:sz w:val="19"/>
          <w:szCs w:val="19"/>
        </w:rPr>
        <w:t xml:space="preserve">Zhu, X. X., Tuia, D., Mou, L., Xia, G.-S., Zhang, L., Xu, F., &amp; Fraundorfer, F. (2017). Deep learning in remote sensing: A comprehensive review and list of resources. IEEE Geoscience and Remote Sensing Magazine, 5(4), 8–36.</w:t>
      </w:r>
    </w:p>
    <w:sectPr>
      <w:footerReference w:type="default" r:id="rId7"/>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 Poudel · Proposed Research Framework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c8403d5ac33fbca10d89ca486889114c367882.png"/><Relationship Id="rId9" Type="http://schemas.openxmlformats.org/officeDocument/2006/relationships/image" Target="media/882afe16c04761ae6bf28910be70a034d03478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2026-10-15T21:12:45.668Z</dcterms:created>
  <dcterms:modified xsi:type="dcterms:W3CDTF">2026-10-15T21:12:45.668Z</dcterms:modified>
</cp:coreProperties>
</file>

<file path=docProps/custom.xml><?xml version="1.0" encoding="utf-8"?>
<Properties xmlns="http://schemas.openxmlformats.org/officeDocument/2006/custom-properties" xmlns:vt="http://schemas.openxmlformats.org/officeDocument/2006/docPropsVTypes"/>
</file>