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Transferring Pretrained 3D Foundation Models to Airborne LiDAR with Limited Labels: A Case Study in North Texas</w:t>
      </w:r>
    </w:p>
    <w:p>
      <w:pPr>
        <w:spacing w:after="300"/>
        <w:jc w:val="center"/>
      </w:pPr>
      <w:r>
        <w:rPr>
          <w:i/>
          <w:iCs/>
          <w:color w:val="555555"/>
        </w:rPr>
        <w:t xml:space="preserve">Thesis proposal draft · University of North Texas</w:t>
      </w:r>
    </w:p>
    <w:p>
      <w:pPr>
        <w:pStyle w:val="Heading1"/>
        <w:spacing w:after="160" w:before="300"/>
      </w:pPr>
      <w:r>
        <w:t xml:space="preserve">Abstract</w:t>
      </w:r>
    </w:p>
    <w:p>
      <w:pPr>
        <w:spacing w:after="160" w:line="300"/>
        <w:jc w:val="both"/>
      </w:pPr>
      <w:r>
        <w:t xml:space="preserve">Airborne LiDAR gives detailed 3D information about land surfaces, vegetation and buildings, but turning raw point clouds into useful maps usually requires deep learning models trained on large amounts of hand-labeled data. Labeling point clouds is slow and expensive, which limits the use of deep learning for regional mapping. Recently, 3D foundation models pretrained with self-supervised learning on large point cloud collections, such as Point-MAE, Point-BERT and Sonata/Point Transformer V3, have shown strong performance on indoor and autonomous-driving benchmarks. However, how well they transfer to airborne LiDAR, which differs in viewpoint, point density and scene type, remains poorly understood.</w:t>
      </w:r>
    </w:p>
    <w:p>
      <w:pPr>
        <w:spacing w:after="160" w:line="300"/>
        <w:jc w:val="both"/>
      </w:pPr>
      <w:r>
        <w:t xml:space="preserve">This thesis will evaluate how well pretrained 3D foundation models transfer to airborne LiDAR semantic segmentation in North Texas, using freely available data from the NEON Lyndon B. Johnson National Grassland site (CLBJ) and the USGS 3D Elevation Program (3DEP). Pretrained models will be fine-tuned to classify ground, low vegetation, trees, buildings and other classes under different label budgets (e.g., 1%, 5%, 10% and 100% of training labels). Their performance will be compared against the same architectures trained from scratch, an established point-based network (KPConv), and a traditional random forest classifier using handcrafted geometric features. Accuracy will be measured using overall accuracy, per-class F1 score and mean Intersection over Union (mIoU), along with training time and computational cost.</w:t>
      </w:r>
    </w:p>
    <w:p>
      <w:pPr>
        <w:spacing w:after="160" w:line="300"/>
        <w:jc w:val="both"/>
      </w:pPr>
      <w:r>
        <w:t xml:space="preserve">The study aims to show whether foundation models can reduce labeling effort while maintaining accuracy for airborne LiDAR mapping, and to give practical guidance for applying them in geospatial research and land management.</w:t>
      </w:r>
    </w:p>
    <w:p>
      <w:pPr>
        <w:spacing w:after="200"/>
      </w:pPr>
      <w:r>
        <w:rPr>
          <w:b/>
          <w:bCs/>
        </w:rPr>
        <w:t xml:space="preserve">Keywords: </w:t>
      </w:r>
      <w:r>
        <w:t xml:space="preserve">GeoAI, airborne LiDAR, 3D foundation models, self-supervised learning, point cloud segmentation, transfer learning, few-label learning</w:t>
      </w:r>
    </w:p>
    <w:p>
      <w:pPr>
        <w:pStyle w:val="Heading1"/>
        <w:spacing w:after="160" w:before="300"/>
      </w:pPr>
      <w:r>
        <w:t xml:space="preserve">Core References</w:t>
      </w:r>
    </w:p>
    <w:p>
      <w:pPr>
        <w:pStyle w:val="Heading2"/>
        <w:spacing w:after="160" w:before="300"/>
      </w:pPr>
      <w:r>
        <w:t xml:space="preserve">A. Foundation model idea and self-supervised learning</w:t>
      </w:r>
    </w:p>
    <w:p>
      <w:pPr>
        <w:spacing w:after="40"/>
        <w:ind w:left="360" w:hanging="360"/>
      </w:pPr>
      <w:r>
        <w:rPr>
          <w:b/>
          <w:bCs/>
        </w:rPr>
        <w:t xml:space="preserve">1. </w:t>
      </w:r>
      <w:r>
        <w:t xml:space="preserve">Bommasani, R., et al. (2021). </w:t>
      </w:r>
      <w:r>
        <w:t xml:space="preserve">On the Opportunities and Risks of Foundation Models. </w:t>
      </w:r>
      <w:r>
        <w:rPr>
          <w:i/>
          <w:iCs/>
        </w:rPr>
        <w:t xml:space="preserve">arXiv:2108.07258.</w:t>
      </w:r>
    </w:p>
    <w:p>
      <w:pPr>
        <w:spacing w:after="160"/>
        <w:ind w:left="360"/>
      </w:pPr>
      <w:r>
        <w:rPr>
          <w:i/>
          <w:iCs/>
          <w:color w:val="555555"/>
          <w:sz w:val="20"/>
          <w:szCs w:val="20"/>
        </w:rPr>
        <w:t xml:space="preserve">→ Defines what a “foundation model” is. Cite it in your introduction.</w:t>
      </w:r>
    </w:p>
    <w:p>
      <w:pPr>
        <w:spacing w:after="40"/>
        <w:ind w:left="360" w:hanging="360"/>
      </w:pPr>
      <w:r>
        <w:rPr>
          <w:b/>
          <w:bCs/>
        </w:rPr>
        <w:t xml:space="preserve">2. </w:t>
      </w:r>
      <w:r>
        <w:t xml:space="preserve">He, K., Chen, X., Xie, S., Li, Y., Dollár, P., &amp; Girshick, R. (2022). </w:t>
      </w:r>
      <w:r>
        <w:t xml:space="preserve">Masked Autoencoders Are Scalable Vision Learners. </w:t>
      </w:r>
      <w:r>
        <w:rPr>
          <w:i/>
          <w:iCs/>
        </w:rPr>
        <w:t xml:space="preserve">CVPR 2022.</w:t>
      </w:r>
    </w:p>
    <w:p>
      <w:pPr>
        <w:spacing w:after="160"/>
        <w:ind w:left="360"/>
      </w:pPr>
      <w:r>
        <w:rPr>
          <w:i/>
          <w:iCs/>
          <w:color w:val="555555"/>
          <w:sz w:val="20"/>
          <w:szCs w:val="20"/>
        </w:rPr>
        <w:t xml:space="preserve">→ The image “hide parts and reconstruct them” idea that Point-MAE adapts for 3D.</w:t>
      </w:r>
    </w:p>
    <w:p>
      <w:pPr>
        <w:pStyle w:val="Heading2"/>
        <w:spacing w:after="160" w:before="300"/>
      </w:pPr>
      <w:r>
        <w:t xml:space="preserve">B. Point cloud deep learning basics (baselines)</w:t>
      </w:r>
    </w:p>
    <w:p>
      <w:pPr>
        <w:spacing w:after="40"/>
        <w:ind w:left="360" w:hanging="360"/>
      </w:pPr>
      <w:r>
        <w:rPr>
          <w:b/>
          <w:bCs/>
        </w:rPr>
        <w:t xml:space="preserve">3. </w:t>
      </w:r>
      <w:r>
        <w:t xml:space="preserve">Qi, C. R., Yi, L., Su, H., &amp; Guibas, L. J. (2017). </w:t>
      </w:r>
      <w:r>
        <w:t xml:space="preserve">PointNet++: Deep Hierarchical Feature Learning on Point Sets in a Metric Space. </w:t>
      </w:r>
      <w:r>
        <w:rPr>
          <w:i/>
          <w:iCs/>
        </w:rPr>
        <w:t xml:space="preserve">NeurIPS 2017.</w:t>
      </w:r>
    </w:p>
    <w:p>
      <w:pPr>
        <w:spacing w:after="160"/>
        <w:ind w:left="360"/>
      </w:pPr>
      <w:r>
        <w:rPr>
          <w:i/>
          <w:iCs/>
          <w:color w:val="555555"/>
          <w:sz w:val="20"/>
          <w:szCs w:val="20"/>
        </w:rPr>
        <w:t xml:space="preserve">→ The classic starting point for deep learning on points.</w:t>
      </w:r>
    </w:p>
    <w:p>
      <w:pPr>
        <w:spacing w:after="40"/>
        <w:ind w:left="360" w:hanging="360"/>
      </w:pPr>
      <w:r>
        <w:rPr>
          <w:b/>
          <w:bCs/>
        </w:rPr>
        <w:t xml:space="preserve">4. </w:t>
      </w:r>
      <w:r>
        <w:t xml:space="preserve">Thomas, H., Qi, C. R., Deschaud, J.-E., Marcotegui, B., Goulette, F., &amp; Guibas, L. J. (2019). </w:t>
      </w:r>
      <w:r>
        <w:t xml:space="preserve">KPConv: Flexible and Deformable Convolution for Point Clouds. </w:t>
      </w:r>
      <w:r>
        <w:rPr>
          <w:i/>
          <w:iCs/>
        </w:rPr>
        <w:t xml:space="preserve">ICCV 2019.</w:t>
      </w:r>
    </w:p>
    <w:p>
      <w:pPr>
        <w:spacing w:after="160"/>
        <w:ind w:left="360"/>
      </w:pPr>
      <w:r>
        <w:rPr>
          <w:i/>
          <w:iCs/>
          <w:color w:val="555555"/>
          <w:sz w:val="20"/>
          <w:szCs w:val="20"/>
        </w:rPr>
        <w:t xml:space="preserve">→ Strong, widely used baseline for outdoor and airborne LiDAR.</w:t>
      </w:r>
    </w:p>
    <w:p>
      <w:pPr>
        <w:pStyle w:val="Heading2"/>
        <w:spacing w:after="160" w:before="300"/>
      </w:pPr>
      <w:r>
        <w:t xml:space="preserve">C. 3D self-supervised pretraining (the core of the thesis)</w:t>
      </w:r>
    </w:p>
    <w:p>
      <w:pPr>
        <w:spacing w:after="40"/>
        <w:ind w:left="360" w:hanging="360"/>
      </w:pPr>
      <w:r>
        <w:rPr>
          <w:b/>
          <w:bCs/>
        </w:rPr>
        <w:t xml:space="preserve">5. </w:t>
      </w:r>
      <w:r>
        <w:t xml:space="preserve">Xie, S., Gu, J., Guo, D., Qi, C. R., Guibas, L., &amp; Litany, O. (2020). </w:t>
      </w:r>
      <w:r>
        <w:t xml:space="preserve">PointContrast: Unsupervised Pre-training for 3D Point Cloud Understanding. </w:t>
      </w:r>
      <w:r>
        <w:rPr>
          <w:i/>
          <w:iCs/>
        </w:rPr>
        <w:t xml:space="preserve">ECCV 2020.</w:t>
      </w:r>
    </w:p>
    <w:p>
      <w:pPr>
        <w:spacing w:after="160"/>
        <w:ind w:left="360"/>
      </w:pPr>
      <w:r>
        <w:rPr>
          <w:i/>
          <w:iCs/>
          <w:color w:val="555555"/>
          <w:sz w:val="20"/>
          <w:szCs w:val="20"/>
        </w:rPr>
        <w:t xml:space="preserve">→ One of the first papers showing that 3D pretraining helps.</w:t>
      </w:r>
    </w:p>
    <w:p>
      <w:pPr>
        <w:spacing w:after="40"/>
        <w:ind w:left="360" w:hanging="360"/>
      </w:pPr>
      <w:r>
        <w:rPr>
          <w:b/>
          <w:bCs/>
        </w:rPr>
        <w:t xml:space="preserve">6. </w:t>
      </w:r>
      <w:r>
        <w:t xml:space="preserve">Yu, X., Tang, L., Rao, Y., Huang, T., Zhou, J., &amp; Lu, J. (2022). </w:t>
      </w:r>
      <w:r>
        <w:t xml:space="preserve">Point-BERT: Pre-training 3D Point Cloud Transformers with Masked Point Modeling. </w:t>
      </w:r>
      <w:r>
        <w:rPr>
          <w:i/>
          <w:iCs/>
        </w:rPr>
        <w:t xml:space="preserve">CVPR 2022.</w:t>
      </w:r>
    </w:p>
    <w:p>
      <w:pPr>
        <w:spacing w:after="160"/>
        <w:ind w:left="360"/>
      </w:pPr>
      <w:r>
        <w:rPr>
          <w:i/>
          <w:iCs/>
          <w:color w:val="555555"/>
          <w:sz w:val="20"/>
          <w:szCs w:val="20"/>
        </w:rPr>
        <w:t xml:space="preserve">→ Masked point modeling for 3D transformers.</w:t>
      </w:r>
    </w:p>
    <w:p>
      <w:pPr>
        <w:spacing w:after="40"/>
        <w:ind w:left="360" w:hanging="360"/>
      </w:pPr>
      <w:r>
        <w:rPr>
          <w:b/>
          <w:bCs/>
        </w:rPr>
        <w:t xml:space="preserve">7. </w:t>
      </w:r>
      <w:r>
        <w:t xml:space="preserve">Pang, Y., Wang, W., Tay, F. E. H., Liu, W., Tian, Y., &amp; Yuan, L. (2022). </w:t>
      </w:r>
      <w:r>
        <w:t xml:space="preserve">Masked Autoencoders for Point Cloud Self-supervised Learning (Point-MAE). </w:t>
      </w:r>
      <w:r>
        <w:rPr>
          <w:i/>
          <w:iCs/>
        </w:rPr>
        <w:t xml:space="preserve">ECCV 2022.</w:t>
      </w:r>
    </w:p>
    <w:p>
      <w:pPr>
        <w:spacing w:after="160"/>
        <w:ind w:left="360"/>
      </w:pPr>
      <w:r>
        <w:rPr>
          <w:i/>
          <w:iCs/>
          <w:color w:val="555555"/>
          <w:sz w:val="20"/>
          <w:szCs w:val="20"/>
        </w:rPr>
        <w:t xml:space="preserve">→ The paper to read first.</w:t>
      </w:r>
    </w:p>
    <w:p>
      <w:pPr>
        <w:pStyle w:val="Heading2"/>
        <w:spacing w:after="160" w:before="300"/>
      </w:pPr>
      <w:r>
        <w:t xml:space="preserve">D. Modern backbone and foundation model</w:t>
      </w:r>
    </w:p>
    <w:p>
      <w:pPr>
        <w:spacing w:after="40"/>
        <w:ind w:left="360" w:hanging="360"/>
      </w:pPr>
      <w:r>
        <w:rPr>
          <w:b/>
          <w:bCs/>
        </w:rPr>
        <w:t xml:space="preserve">8. </w:t>
      </w:r>
      <w:r>
        <w:t xml:space="preserve">Wu, X., Jiang, L., Wang, P.-S., Liu, Z., Liu, X., Qiao, Y., Ouyang, W., He, T., &amp; Zhao, H. (2024). </w:t>
      </w:r>
      <w:r>
        <w:t xml:space="preserve">Point Transformer V3: Simpler, Faster, Stronger. </w:t>
      </w:r>
      <w:r>
        <w:rPr>
          <w:i/>
          <w:iCs/>
        </w:rPr>
        <w:t xml:space="preserve">CVPR 2024.</w:t>
      </w:r>
    </w:p>
    <w:p>
      <w:pPr>
        <w:spacing w:after="160"/>
        <w:ind w:left="360"/>
      </w:pPr>
      <w:r>
        <w:rPr>
          <w:i/>
          <w:iCs/>
          <w:color w:val="555555"/>
          <w:sz w:val="20"/>
          <w:szCs w:val="20"/>
        </w:rPr>
        <w:t xml:space="preserve">→ A current state-of-the-art backbone, available in the Pointcept code framework.</w:t>
      </w:r>
    </w:p>
    <w:p>
      <w:pPr>
        <w:spacing w:after="40"/>
        <w:ind w:left="360" w:hanging="360"/>
      </w:pPr>
      <w:r>
        <w:rPr>
          <w:b/>
          <w:bCs/>
        </w:rPr>
        <w:t xml:space="preserve">9. </w:t>
      </w:r>
      <w:r>
        <w:t xml:space="preserve">Wu, X., et al. (2025). </w:t>
      </w:r>
      <w:r>
        <w:t xml:space="preserve">Sonata: Self-Supervised Learning of Reliable Point Representations. </w:t>
      </w:r>
      <w:r>
        <w:rPr>
          <w:i/>
          <w:iCs/>
        </w:rPr>
        <w:t xml:space="preserve">CVPR 2025.</w:t>
      </w:r>
    </w:p>
    <w:p>
      <w:pPr>
        <w:spacing w:after="160"/>
        <w:ind w:left="360"/>
      </w:pPr>
      <w:r>
        <w:rPr>
          <w:i/>
          <w:iCs/>
          <w:color w:val="555555"/>
          <w:sz w:val="20"/>
          <w:szCs w:val="20"/>
        </w:rPr>
        <w:t xml:space="preserve">→ Recent self-supervised 3D model built on PTv3; the closest usable “3D foundation model”.</w:t>
      </w:r>
    </w:p>
    <w:p>
      <w:pPr>
        <w:pStyle w:val="Heading2"/>
        <w:spacing w:after="160" w:before="300"/>
      </w:pPr>
      <w:r>
        <w:t xml:space="preserve">E. Airborne LiDAR benchmark</w:t>
      </w:r>
    </w:p>
    <w:p>
      <w:pPr>
        <w:spacing w:after="40"/>
        <w:ind w:left="360" w:hanging="360"/>
      </w:pPr>
      <w:r>
        <w:rPr>
          <w:b/>
          <w:bCs/>
        </w:rPr>
        <w:t xml:space="preserve">10. </w:t>
      </w:r>
      <w:r>
        <w:t xml:space="preserve">Varney, N., Asari, V. K., &amp; Graehling, Q. (2020). </w:t>
      </w:r>
      <w:r>
        <w:t xml:space="preserve">DALES: A Large-scale Aerial LiDAR Data Set for Semantic Segmentation. </w:t>
      </w:r>
      <w:r>
        <w:rPr>
          <w:i/>
          <w:iCs/>
        </w:rPr>
        <w:t xml:space="preserve">CVPR Workshops 2020.</w:t>
      </w:r>
    </w:p>
    <w:p>
      <w:pPr>
        <w:spacing w:after="160"/>
        <w:ind w:left="360"/>
      </w:pPr>
      <w:r>
        <w:rPr>
          <w:i/>
          <w:iCs/>
          <w:color w:val="555555"/>
          <w:sz w:val="20"/>
          <w:szCs w:val="20"/>
        </w:rPr>
        <w:t xml:space="preserve">→ A large labeled airborne LiDAR dataset for comparison and possibly training.</w:t>
      </w:r>
    </w:p>
    <w:p>
      <w:pPr>
        <w:pStyle w:val="Heading1"/>
        <w:spacing w:after="160" w:before="300"/>
      </w:pPr>
      <w:r>
        <w:t xml:space="preserve">Before Using These References</w:t>
      </w:r>
    </w:p>
    <w:p>
      <w:pPr>
        <w:pStyle w:val="ListParagraph"/>
        <w:numPr>
          <w:ilvl w:val="0"/>
          <w:numId w:val="2"/>
        </w:numPr>
        <w:spacing w:after="100"/>
      </w:pPr>
      <w:r>
        <w:t xml:space="preserve">Check each citation on Google Scholar. These were written from memory, so author lists, years or venues may have small errors.</w:t>
      </w:r>
    </w:p>
    <w:p>
      <w:pPr>
        <w:pStyle w:val="ListParagraph"/>
        <w:numPr>
          <w:ilvl w:val="0"/>
          <w:numId w:val="2"/>
        </w:numPr>
        <w:spacing w:after="100"/>
      </w:pPr>
      <w:r>
        <w:t xml:space="preserve">Search for 2025–2026 papers on “foundation model airborne LiDAR” and “self-supervised pretraining aerial point cloud”. Newer work may change the research gap.</w:t>
      </w:r>
    </w:p>
    <w:p>
      <w:pPr>
        <w:pStyle w:val="ListParagraph"/>
        <w:numPr>
          <w:ilvl w:val="0"/>
          <w:numId w:val="2"/>
        </w:numPr>
        <w:spacing w:after="100"/>
      </w:pPr>
      <w:r>
        <w:t xml:space="preserve">Confirm with Dr. Dong that this topic does not overlap too much with Prashant Thapaliya’s thesis.</w:t>
      </w:r>
    </w:p>
    <w:p>
      <w:pPr>
        <w:pStyle w:val="ListParagraph"/>
        <w:numPr>
          <w:ilvl w:val="0"/>
          <w:numId w:val="2"/>
        </w:numPr>
        <w:spacing w:after="100"/>
      </w:pPr>
      <w:r>
        <w:t xml:space="preserve">Suggested reading order: #7 (Point-MAE), then #8 (PTv3), then #10 (DALES). Read abstracts and figures first.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2026-10-07T20:11:52.874Z</dcterms:created>
  <dcterms:modified xsi:type="dcterms:W3CDTF">2026-10-07T20:11:52.882Z</dcterms:modified>
</cp:coreProperties>
</file>

<file path=docProps/custom.xml><?xml version="1.0" encoding="utf-8"?>
<Properties xmlns="http://schemas.openxmlformats.org/officeDocument/2006/custom-properties" xmlns:vt="http://schemas.openxmlformats.org/officeDocument/2006/docPropsVTypes"/>
</file>