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FC4B4">
      <w:pPr>
        <w:bidi w:val="0"/>
        <w:jc w:val="center"/>
        <w:rPr>
          <w:rFonts w:hint="default" w:ascii="黑体" w:hAnsi="黑体" w:eastAsia="黑体" w:cs="黑体"/>
          <w:sz w:val="44"/>
          <w:szCs w:val="44"/>
          <w:lang w:val="en-US" w:eastAsia="zh-CN"/>
        </w:rPr>
      </w:pPr>
    </w:p>
    <w:p w14:paraId="2AE93D70">
      <w:pPr>
        <w:bidi w:val="0"/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427F5DFA">
      <w:pPr>
        <w:bidi w:val="0"/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 xml:space="preserve"> </w:t>
      </w:r>
    </w:p>
    <w:p w14:paraId="2AACF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202</w:t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6</w:t>
      </w:r>
      <w:r>
        <w:rPr>
          <w:rFonts w:hint="eastAsia" w:ascii="黑体" w:hAnsi="黑体" w:eastAsia="黑体" w:cs="黑体"/>
          <w:sz w:val="44"/>
          <w:szCs w:val="44"/>
        </w:rPr>
        <w:t>年第</w:t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八</w:t>
      </w:r>
      <w:r>
        <w:rPr>
          <w:rFonts w:hint="eastAsia" w:ascii="黑体" w:hAnsi="黑体" w:eastAsia="黑体" w:cs="黑体"/>
          <w:sz w:val="44"/>
          <w:szCs w:val="44"/>
        </w:rPr>
        <w:t>届</w:t>
      </w:r>
    </w:p>
    <w:p w14:paraId="6A5E6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全球校园人工智能算法精英大赛</w:t>
      </w:r>
    </w:p>
    <w:p w14:paraId="0D997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黑体" w:hAnsi="黑体" w:eastAsia="黑体" w:cs="黑体"/>
          <w:sz w:val="44"/>
          <w:szCs w:val="44"/>
        </w:rPr>
      </w:pPr>
    </w:p>
    <w:p w14:paraId="6DB35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算法</w:t>
      </w: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创新</w:t>
      </w:r>
      <w:r>
        <w:rPr>
          <w:rFonts w:hint="eastAsia" w:ascii="黑体" w:hAnsi="黑体" w:eastAsia="黑体" w:cs="黑体"/>
          <w:sz w:val="40"/>
          <w:szCs w:val="40"/>
        </w:rPr>
        <w:t>赛</w:t>
      </w:r>
    </w:p>
    <w:p w14:paraId="206D4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（赛题名称）</w:t>
      </w:r>
    </w:p>
    <w:p w14:paraId="6EECF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0"/>
          <w:szCs w:val="40"/>
        </w:rPr>
        <w:t>技术报告</w:t>
      </w:r>
    </w:p>
    <w:p w14:paraId="09B87151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483FD5C6">
      <w:pPr>
        <w:bidi w:val="0"/>
        <w:ind w:left="0" w:leftChars="0" w:firstLine="2320" w:firstLineChars="725"/>
        <w:rPr>
          <w:rFonts w:hint="eastAsia"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团队名称</w:t>
      </w:r>
      <w:r>
        <w:rPr>
          <w:rFonts w:hint="eastAsia" w:ascii="仿宋" w:hAnsi="仿宋" w:eastAsia="仿宋" w:cs="仿宋"/>
          <w:sz w:val="32"/>
          <w:szCs w:val="32"/>
        </w:rPr>
        <w:t>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褚成天枢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</w:t>
      </w:r>
    </w:p>
    <w:p w14:paraId="274393F6">
      <w:pPr>
        <w:bidi w:val="0"/>
        <w:ind w:left="0" w:leftChars="0" w:firstLine="2320" w:firstLineChars="725"/>
        <w:rPr>
          <w:rFonts w:hint="default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团队编号</w:t>
      </w:r>
      <w:r>
        <w:rPr>
          <w:rFonts w:hint="eastAsia" w:ascii="仿宋" w:hAnsi="仿宋" w:cs="仿宋"/>
          <w:sz w:val="32"/>
          <w:szCs w:val="32"/>
          <w:u w:val="none"/>
          <w:lang w:val="en-US" w:eastAsia="zh-CN"/>
        </w:rPr>
        <w:t>：</w:t>
      </w:r>
      <w:r>
        <w:rPr>
          <w:rFonts w:hint="eastAsia" w:ascii="仿宋" w:hAnsi="仿宋" w:cs="仿宋"/>
          <w:sz w:val="32"/>
          <w:szCs w:val="32"/>
          <w:u w:val="single"/>
          <w:lang w:val="en-US" w:eastAsia="zh-CN"/>
        </w:rPr>
        <w:t xml:space="preserve"> AIC-2026-48534193  </w:t>
      </w:r>
    </w:p>
    <w:p w14:paraId="4D0C2459">
      <w:pPr>
        <w:bidi w:val="0"/>
        <w:ind w:left="0" w:leftChars="0" w:firstLine="2320" w:firstLineChars="725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仿宋" w:hAnsi="仿宋" w:eastAsia="仿宋" w:cs="仿宋"/>
          <w:sz w:val="32"/>
          <w:szCs w:val="32"/>
        </w:rPr>
        <w:t>作品名称：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>小膳管家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</w:t>
      </w:r>
    </w:p>
    <w:p w14:paraId="6BB95211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45703911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66AEE4B5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4CE0796C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2305C5FE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768E552B">
      <w:pPr>
        <w:bidi w:val="0"/>
        <w:rPr>
          <w:rFonts w:hint="eastAsia" w:ascii="黑体" w:hAnsi="黑体" w:eastAsia="黑体" w:cs="黑体"/>
          <w:sz w:val="44"/>
          <w:szCs w:val="44"/>
        </w:rPr>
      </w:pPr>
    </w:p>
    <w:p w14:paraId="5085A3A6">
      <w:pPr>
        <w:bidi w:val="0"/>
        <w:ind w:left="0" w:leftChars="0" w:firstLine="2320" w:firstLineChars="725"/>
        <w:rPr>
          <w:rFonts w:hint="eastAsia" w:ascii="仿宋" w:hAnsi="仿宋" w:cs="仿宋"/>
          <w:sz w:val="32"/>
          <w:szCs w:val="32"/>
          <w:u w:val="none"/>
          <w:lang w:val="en-US" w:eastAsia="zh-CN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17" w:right="1701" w:bottom="1417" w:left="1701" w:header="850" w:footer="85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rtlGutter w:val="0"/>
          <w:docGrid w:type="lines" w:linePitch="333" w:charSpace="0"/>
        </w:sectPr>
      </w:pPr>
      <w:r>
        <w:rPr>
          <w:rFonts w:hint="eastAsia" w:ascii="仿宋" w:hAnsi="仿宋" w:cs="仿宋"/>
          <w:sz w:val="32"/>
          <w:szCs w:val="32"/>
          <w:u w:val="none"/>
          <w:lang w:val="en-US" w:eastAsia="zh-CN"/>
        </w:rPr>
        <w:t>日期：2026年10月12日</w:t>
      </w:r>
    </w:p>
    <w:p w14:paraId="2A97DED7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eastAsia" w:ascii="宋体" w:hAnsi="宋体" w:eastAsia="宋体" w:cs="宋体"/>
          <w:b w:val="0"/>
          <w:bCs w:val="0"/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 xml:space="preserve">目  </w:t>
      </w:r>
      <w:bookmarkStart w:id="0" w:name="论文目录"/>
      <w:bookmarkEnd w:id="0"/>
      <w:r>
        <w:rPr>
          <w:rFonts w:hint="eastAsia" w:ascii="宋体" w:hAnsi="宋体" w:eastAsia="宋体" w:cs="宋体"/>
          <w:b/>
          <w:bCs/>
          <w:kern w:val="44"/>
          <w:sz w:val="44"/>
          <w:szCs w:val="44"/>
        </w:rPr>
        <w:t>录</w:t>
      </w:r>
    </w:p>
    <w:sdt>
      <w:sdtP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id w:val="147482778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楷体" w:cs="Times New Roman"/>
          <w:bCs/>
          <w:kern w:val="0"/>
          <w:sz w:val="24"/>
          <w:szCs w:val="32"/>
          <w:lang w:val="en-US" w:eastAsia="zh-CN" w:bidi="ar-SA"/>
        </w:rPr>
      </w:sdtEndPr>
      <w:sdtContent>
        <w:p w14:paraId="105AB86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bookmarkStart w:id="1" w:name="_Toc17032"/>
        </w:p>
        <w:p w14:paraId="4D96E915">
          <w:pPr>
            <w:pStyle w:val="9"/>
            <w:tabs>
              <w:tab w:val="right" w:leader="dot" w:pos="8504"/>
              <w:tab w:val="clear" w:pos="8296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Cs/>
              <w:kern w:val="0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_Toc16185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  <w:lang w:val="en-US" w:eastAsia="zh-CN"/>
            </w:rPr>
            <w:t>作品简介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_Toc16185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24E83A39">
          <w:pPr>
            <w:pStyle w:val="9"/>
            <w:tabs>
              <w:tab w:val="right" w:leader="dot" w:pos="8504"/>
              <w:tab w:val="clear" w:pos="8296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_Toc17171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一、项目概述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_Toc17171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595FD55A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_Toc11880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>（一）项目背景与意义。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_Toc11880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0C2C6914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_Toc18096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>（二）</w:t>
          </w:r>
          <w:r>
            <w:rPr>
              <w:rFonts w:hint="eastAsia" w:ascii="宋体" w:hAnsi="宋体" w:eastAsia="宋体" w:cs="宋体"/>
              <w:lang w:val="en-US" w:eastAsia="zh-CN"/>
            </w:rPr>
            <w:t>目标</w:t>
          </w:r>
          <w:r>
            <w:rPr>
              <w:rFonts w:hint="eastAsia" w:ascii="宋体" w:hAnsi="宋体" w:eastAsia="宋体" w:cs="宋体"/>
            </w:rPr>
            <w:t>定位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_Toc18096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2228F1B7">
          <w:pPr>
            <w:pStyle w:val="9"/>
            <w:tabs>
              <w:tab w:val="right" w:leader="dot" w:pos="8504"/>
              <w:tab w:val="clear" w:pos="8296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_Toc29234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>二、 主</w:t>
          </w:r>
          <w:r>
            <w:rPr>
              <w:rFonts w:hint="eastAsia" w:ascii="宋体" w:hAnsi="宋体" w:eastAsia="宋体" w:cs="宋体"/>
              <w:lang w:val="en-US" w:eastAsia="zh-CN"/>
            </w:rPr>
            <w:t>要</w:t>
          </w:r>
          <w:r>
            <w:rPr>
              <w:rFonts w:hint="eastAsia" w:ascii="宋体" w:hAnsi="宋体" w:eastAsia="宋体" w:cs="宋体"/>
            </w:rPr>
            <w:t>内容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_Toc29234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53DDD74E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_Toc18699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>（一） 需求分析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_Toc18699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03ADB321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_Toc21778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（二）解决方案设计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_Toc21778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29C81576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_Toc26937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（三）项目实施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_Toc26937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7B3FE0FD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_Toc1602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（四）测试与验证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_Toc1602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7873473C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_Toc23578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4.1 测试方案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_Toc23578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37DCC2F2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_Toc26478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4.2 验证结果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_Toc26478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00CD86C4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_Toc9165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4.2.3 检索准确性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_Toc9165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4D36119F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_Toc1232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4.2.4 安全性与健康护栏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_Toc1232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0883E35A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_Toc19413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4.2.5 实际应用效果（人机对照实验）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_Toc19413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45FD500B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_Toc29515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4.2.6 性能与延迟实测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_Toc29515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12D86948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_Toc5967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4.3 与预期目标对比及改进措施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_Toc5967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7F78B4D5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_Toc27711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（五）应用效果与成果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_Toc27711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4AE3A2BE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_Toc14825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</w:rPr>
            <w:t>.1 实际应用情况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_Toc14825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728E9ABD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_Toc32049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5</w:t>
          </w:r>
          <w:r>
            <w:rPr>
              <w:rFonts w:hint="eastAsia" w:ascii="宋体" w:hAnsi="宋体" w:eastAsia="宋体" w:cs="宋体"/>
            </w:rPr>
            <w:t>.2 成果展示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_Toc32049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6927A214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_Toc14711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5.2.1 安全性成果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_Toc14711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235768AB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_Toc4474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5.2.2 准确性成果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_Toc4474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159C50DD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_Toc17758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5.2.3 稳定性成果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_Toc17758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667CBECF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_Toc3735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5.2.4 可用性成果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_Toc3735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51565B36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_Toc31279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5.2.5 论文、专利与第三方检测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_Toc31279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3F7EEF4A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_Toc16336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5</w:t>
          </w:r>
          <w:r>
            <w:rPr>
              <w:rFonts w:hint="eastAsia" w:ascii="宋体" w:hAnsi="宋体" w:eastAsia="宋体" w:cs="宋体"/>
            </w:rPr>
            <w:t>.3 数据口径说明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_Toc16336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18D856C2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_Toc31517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5</w:t>
          </w:r>
          <w:r>
            <w:rPr>
              <w:rFonts w:hint="eastAsia" w:ascii="宋体" w:hAnsi="宋体" w:eastAsia="宋体" w:cs="宋体"/>
            </w:rPr>
            <w:t>.4 局限与说明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_Toc31517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3A52E633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_Toc29782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5.5 综合结论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_Toc29782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64172920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_Toc22589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>（六）总结与展望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_Toc22589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055FA088">
          <w:pPr>
            <w:pStyle w:val="9"/>
            <w:tabs>
              <w:tab w:val="right" w:leader="dot" w:pos="8504"/>
              <w:tab w:val="clear" w:pos="8296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_Toc2819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三、 附录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_Toc2819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3B9C9141">
          <w:pPr>
            <w:pStyle w:val="10"/>
            <w:tabs>
              <w:tab w:val="right" w:leader="dot" w:pos="8504"/>
              <w:tab w:val="clear" w:pos="7927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_Toc12208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>代码与模型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_Toc12208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2D7F72E2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_Toc16734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3.1代码组成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_Toc16734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330E4ADF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_Toc10531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3.2关键算法代码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_Toc10531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38E2FAC0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_Toc1947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3.3模型与语料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_Toc1947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70C3628B">
          <w:pPr>
            <w:pStyle w:val="8"/>
            <w:tabs>
              <w:tab w:val="right" w:leader="dot" w:pos="8504"/>
            </w:tabs>
            <w:spacing w:line="24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instrText xml:space="preserve"> HYPERLINK \l _Toc9802 </w:instrText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  <w:lang w:val="en-US" w:eastAsia="zh-CN"/>
            </w:rPr>
            <w:t>3.4复现说明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_Toc9802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  <w:p w14:paraId="24C103BC">
          <w:pPr>
            <w:pStyle w:val="9"/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firstLine="0" w:firstLineChars="0"/>
            <w:textAlignment w:val="auto"/>
            <w:rPr>
              <w:rFonts w:ascii="Times New Roman" w:hAnsi="Times New Roman" w:eastAsia="楷体" w:cs="Times New Roman"/>
              <w:bCs/>
              <w:kern w:val="0"/>
              <w:sz w:val="24"/>
              <w:szCs w:val="32"/>
              <w:lang w:val="en-US" w:eastAsia="zh-CN" w:bidi="ar-SA"/>
            </w:rPr>
            <w:sectPr>
              <w:footerReference r:id="rId9" w:type="default"/>
              <w:pgSz w:w="11906" w:h="16838"/>
              <w:pgMar w:top="1417" w:right="1701" w:bottom="1417" w:left="1701" w:header="850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start="1"/>
              <w:cols w:space="720" w:num="1"/>
              <w:rtlGutter w:val="0"/>
              <w:docGrid w:type="lines" w:linePitch="333" w:charSpace="0"/>
            </w:sectPr>
          </w:pPr>
          <w:r>
            <w:rPr>
              <w:rFonts w:hint="eastAsia" w:ascii="宋体" w:hAnsi="宋体" w:eastAsia="宋体" w:cs="宋体"/>
              <w:bCs/>
              <w:kern w:val="0"/>
              <w:szCs w:val="24"/>
            </w:rPr>
            <w:fldChar w:fldCharType="end"/>
          </w:r>
        </w:p>
      </w:sdtContent>
    </w:sdt>
    <w:p w14:paraId="47C43E9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0" w:firstLineChars="0"/>
        <w:jc w:val="center"/>
        <w:textAlignment w:val="auto"/>
        <w:rPr>
          <w:rFonts w:hint="default" w:eastAsia="宋体"/>
          <w:sz w:val="32"/>
          <w:szCs w:val="32"/>
          <w:lang w:val="en-US" w:eastAsia="zh-CN"/>
        </w:rPr>
      </w:pPr>
      <w:bookmarkStart w:id="2" w:name="_Toc17076"/>
      <w:bookmarkStart w:id="3" w:name="_Toc16185"/>
      <w:r>
        <w:rPr>
          <w:rFonts w:hint="eastAsia"/>
          <w:sz w:val="32"/>
          <w:szCs w:val="32"/>
          <w:lang w:val="en-US" w:eastAsia="zh-CN"/>
        </w:rPr>
        <w:t>作品简介</w:t>
      </w:r>
      <w:bookmarkEnd w:id="2"/>
      <w:bookmarkEnd w:id="3"/>
    </w:p>
    <w:p w14:paraId="43634C50">
      <w:pPr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膳管家是带确定性健康护栏的多模态膳食决策智能体，面向慢病家庭和外卖人群，把膳食指南变成餐桌决策工具。它解决了“会不会做、材料齐不齐、家人能不能吃”的三个问题，问题是指南只有文字、菜谱App又只会搬运信息。系统以食材照片或身体状态为依据，进行多轮推理，又依据27份国家文件形成1435个可溯源片段，保证决策有出处。输出前再叠加两层硬规则把关，过敏原、慢病忌口一律拦下，并按成员生成决策。在家给搭配，在外接入高德地图，给出符合饮食要求的餐馆，并给出建议。实测：10例硬禁忌对照里，拦截数从0升到10；14例端到端测试违禁率在80%到86%之间；护栏审计中位耗时仅0.17毫秒，39例检索测试全部通过。</w:t>
      </w:r>
    </w:p>
    <w:p w14:paraId="56350A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AD88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3F55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bookmarkEnd w:id="1"/>
    <w:p w14:paraId="79278F59">
      <w:pPr>
        <w:pStyle w:val="2"/>
        <w:bidi w:val="0"/>
        <w:ind w:left="0" w:leftChars="0" w:firstLine="0" w:firstLineChars="0"/>
        <w:rPr>
          <w:rFonts w:hint="eastAsia"/>
          <w:sz w:val="32"/>
          <w:szCs w:val="32"/>
        </w:rPr>
      </w:pPr>
      <w:bookmarkStart w:id="4" w:name="_Toc26108"/>
    </w:p>
    <w:p w14:paraId="7AA17FEA">
      <w:pPr>
        <w:pStyle w:val="2"/>
        <w:bidi w:val="0"/>
        <w:rPr>
          <w:rFonts w:hint="eastAsia"/>
          <w:sz w:val="32"/>
          <w:szCs w:val="32"/>
        </w:rPr>
      </w:pPr>
    </w:p>
    <w:p w14:paraId="2DBAD165">
      <w:pPr>
        <w:pStyle w:val="2"/>
        <w:bidi w:val="0"/>
        <w:rPr>
          <w:rFonts w:hint="eastAsia"/>
          <w:sz w:val="32"/>
          <w:szCs w:val="32"/>
        </w:rPr>
      </w:pPr>
    </w:p>
    <w:p w14:paraId="22414BE3">
      <w:pPr>
        <w:pStyle w:val="2"/>
        <w:bidi w:val="0"/>
        <w:rPr>
          <w:rFonts w:hint="eastAsia"/>
          <w:sz w:val="32"/>
          <w:szCs w:val="32"/>
        </w:rPr>
      </w:pPr>
    </w:p>
    <w:p w14:paraId="0E6FAD86">
      <w:pPr>
        <w:pStyle w:val="2"/>
        <w:bidi w:val="0"/>
        <w:rPr>
          <w:rFonts w:hint="eastAsia"/>
          <w:sz w:val="32"/>
          <w:szCs w:val="32"/>
        </w:rPr>
      </w:pPr>
    </w:p>
    <w:p w14:paraId="1533A311">
      <w:pPr>
        <w:pStyle w:val="2"/>
        <w:bidi w:val="0"/>
        <w:rPr>
          <w:rFonts w:hint="eastAsia"/>
          <w:sz w:val="32"/>
          <w:szCs w:val="32"/>
        </w:rPr>
      </w:pPr>
    </w:p>
    <w:p w14:paraId="6F6F7F82">
      <w:pPr>
        <w:pStyle w:val="2"/>
        <w:bidi w:val="0"/>
        <w:ind w:left="0" w:leftChars="0" w:firstLine="0" w:firstLineChars="0"/>
        <w:rPr>
          <w:rFonts w:hint="eastAsia"/>
          <w:sz w:val="32"/>
          <w:szCs w:val="32"/>
        </w:rPr>
      </w:pPr>
    </w:p>
    <w:p w14:paraId="05906B02">
      <w:pPr>
        <w:rPr>
          <w:rFonts w:hint="eastAsia"/>
          <w:sz w:val="32"/>
          <w:szCs w:val="32"/>
        </w:rPr>
      </w:pPr>
    </w:p>
    <w:p w14:paraId="2316E6C2">
      <w:pPr>
        <w:rPr>
          <w:rFonts w:hint="eastAsia"/>
          <w:sz w:val="32"/>
          <w:szCs w:val="32"/>
        </w:rPr>
      </w:pPr>
    </w:p>
    <w:p w14:paraId="7CBB504F">
      <w:pPr>
        <w:rPr>
          <w:rFonts w:hint="eastAsia"/>
          <w:sz w:val="32"/>
          <w:szCs w:val="32"/>
        </w:rPr>
      </w:pPr>
    </w:p>
    <w:p w14:paraId="7E95B465">
      <w:pPr>
        <w:rPr>
          <w:rFonts w:hint="eastAsia"/>
          <w:sz w:val="32"/>
          <w:szCs w:val="32"/>
        </w:rPr>
      </w:pPr>
    </w:p>
    <w:p w14:paraId="0A091787">
      <w:pPr>
        <w:pStyle w:val="2"/>
        <w:bidi w:val="0"/>
        <w:ind w:left="0" w:leftChars="0" w:firstLine="0" w:firstLineChars="0"/>
        <w:rPr>
          <w:rFonts w:hint="eastAsia"/>
          <w:sz w:val="32"/>
          <w:szCs w:val="32"/>
        </w:rPr>
      </w:pPr>
      <w:bookmarkStart w:id="5" w:name="_Toc17171"/>
      <w:r>
        <w:rPr>
          <w:rFonts w:hint="eastAsia"/>
          <w:sz w:val="32"/>
          <w:szCs w:val="32"/>
        </w:rPr>
        <w:t>一、项目概述</w:t>
      </w:r>
      <w:bookmarkEnd w:id="4"/>
      <w:bookmarkEnd w:id="5"/>
    </w:p>
    <w:p w14:paraId="4B8BD0A5">
      <w:pPr>
        <w:pStyle w:val="3"/>
        <w:bidi w:val="0"/>
        <w:rPr>
          <w:rFonts w:hint="eastAsia" w:ascii="宋体" w:hAnsi="宋体" w:eastAsia="宋体" w:cs="宋体"/>
        </w:rPr>
      </w:pPr>
      <w:bookmarkStart w:id="6" w:name="_Toc10302"/>
      <w:bookmarkStart w:id="7" w:name="_Toc11880"/>
      <w:r>
        <w:rPr>
          <w:rFonts w:hint="eastAsia"/>
        </w:rPr>
        <w:t>（一）项目背景与意义</w:t>
      </w:r>
      <w:bookmarkEnd w:id="6"/>
      <w:r>
        <w:rPr>
          <w:rFonts w:hint="eastAsia" w:ascii="宋体" w:hAnsi="宋体" w:eastAsia="宋体" w:cs="宋体"/>
        </w:rPr>
        <w:t>。</w:t>
      </w:r>
      <w:bookmarkEnd w:id="7"/>
    </w:p>
    <w:p w14:paraId="0E31B97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  <w:bookmarkStart w:id="8" w:name="_Toc29081"/>
      <w:r>
        <w:rPr>
          <w:rFonts w:hint="eastAsia" w:ascii="宋体" w:hAnsi="宋体" w:eastAsia="宋体" w:cs="宋体"/>
        </w:rPr>
        <w:t>慢性病已成为威胁我国居民健康的首要公共卫生挑战。据《中国居民营养与慢性病状况报告》</w:t>
      </w:r>
      <w:r>
        <w:rPr>
          <w:rFonts w:hint="eastAsia" w:ascii="宋体" w:hAnsi="宋体" w:eastAsia="宋体" w:cs="宋体"/>
          <w:sz w:val="24"/>
          <w:vertAlign w:val="superscript"/>
        </w:rPr>
        <w:t>[</w:t>
      </w:r>
      <w:r>
        <w:rPr>
          <w:rFonts w:hint="eastAsia" w:ascii="宋体" w:hAnsi="宋体" w:cs="宋体"/>
          <w:sz w:val="24"/>
          <w:vertAlign w:val="superscript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vertAlign w:val="superscript"/>
        </w:rPr>
        <w:t>]</w:t>
      </w:r>
      <w:r>
        <w:rPr>
          <w:rFonts w:hint="eastAsia" w:ascii="宋体" w:hAnsi="宋体" w:eastAsia="宋体" w:cs="宋体"/>
        </w:rPr>
        <w:t>，我国 18 岁及以上居民高血压患病率达 27.5%，糖尿病约 11.9%，慢性病死亡占居民总死亡的 88%，患者约 4.5 亿</w:t>
      </w:r>
      <w:r>
        <w:rPr>
          <w:rFonts w:hint="eastAsia" w:ascii="宋体" w:hAnsi="宋体" w:eastAsia="宋体" w:cs="宋体"/>
          <w:sz w:val="24"/>
          <w:vertAlign w:val="superscript"/>
        </w:rPr>
        <w:t>[2]</w:t>
      </w:r>
      <w:r>
        <w:rPr>
          <w:rFonts w:hint="eastAsia" w:ascii="宋体" w:hAnsi="宋体" w:eastAsia="宋体" w:cs="宋体"/>
        </w:rPr>
        <w:t>；不合理膳食是主要危险因素之一，2016 年全球疾病负担研究显示，饮食相关疾病负担约占 15.9%</w:t>
      </w:r>
      <w:r>
        <w:rPr>
          <w:rFonts w:hint="eastAsia" w:ascii="宋体" w:hAnsi="宋体" w:cs="宋体"/>
          <w:sz w:val="24"/>
          <w:vertAlign w:val="superscript"/>
          <w:lang w:eastAsia="zh-CN"/>
        </w:rPr>
        <w:t>[3]</w:t>
      </w:r>
      <w:r>
        <w:rPr>
          <w:rFonts w:hint="eastAsia" w:ascii="宋体" w:hAnsi="宋体" w:eastAsia="宋体" w:cs="宋体"/>
        </w:rPr>
        <w:t>，《健康中国行动（2019—2030年）》已把合理膳食列为慢病防控重点。</w:t>
      </w:r>
    </w:p>
    <w:p w14:paraId="36BC2BC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同时，外卖成为城市青年与双职工家庭的日常刚需，其重油重盐、蔬菜不足的结构正加速慢病低龄化，形成“越忙越吃外卖、越吃越不健康、越没精力做饭”的循环。为此，国家卫健委自 2023 年以来已分三批发布 11 项食养指南。但指南是“白纸黑字”，一日三餐是“现实难题”，从“知道标准”到“做出决策”之间横着一条执行鸿沟：城市青年依赖外卖却不会判断怎么点得健康，患病老人做饭不便、子女又缺营养学知识。调研还显示，受访者对 AI 饮食建议的信任度均值仅 3.4/5，仅 22.5% 信任现有菜谱类 App，“有焦虑、缺信任”。</w:t>
      </w:r>
    </w:p>
    <w:p w14:paraId="33EFFD2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小膳管家用 27 份国家权威文件（含 6 项食养指南）与国标构建可溯源 RAG 知识护栏，以 LangGraph 循环 Agent 作决策中枢，并以确定性硬规则主导最终判定，把国家膳食指南转化为可实时调用的决策护栏</w:t>
      </w:r>
      <w:r>
        <w:rPr>
          <w:rFonts w:hint="eastAsia" w:ascii="宋体" w:hAnsi="宋体" w:cs="宋体"/>
          <w:lang w:eastAsia="zh-CN"/>
        </w:rPr>
        <w:t>；</w:t>
      </w:r>
      <w:r>
        <w:rPr>
          <w:rFonts w:hint="eastAsia" w:ascii="宋体" w:hAnsi="宋体" w:eastAsia="宋体" w:cs="宋体"/>
        </w:rPr>
        <w:t>它让国家食养指南从政策文件落到日常餐桌，让科学食养从“政策倡导”变为“日常可及”。</w:t>
      </w:r>
    </w:p>
    <w:p w14:paraId="1B59080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rPr>
          <w:rFonts w:hint="eastAsia" w:ascii="宋体" w:hAnsi="宋体" w:eastAsia="宋体" w:cs="宋体"/>
        </w:rPr>
        <w:t>用“人工智能+场景创新”解决这一问题，意义有三层：场景上，慢病膳食是每天发生的高频刚需，</w:t>
      </w:r>
      <w:r>
        <w:rPr>
          <w:rFonts w:hint="eastAsia" w:ascii="宋体" w:hAnsi="宋体" w:cs="宋体"/>
          <w:lang w:val="en-US" w:eastAsia="zh-CN"/>
        </w:rPr>
        <w:t>让其变得</w:t>
      </w:r>
      <w:r>
        <w:rPr>
          <w:rFonts w:hint="eastAsia" w:ascii="宋体" w:hAnsi="宋体" w:eastAsia="宋体" w:cs="宋体"/>
        </w:rPr>
        <w:t>约束明确、可判定，正是把权威知识做成实时决策护栏的理想场景；技术上，系统把 LLM 当大脑用，让它负责听懂用户、给出方向，但不决定最终走向，真正拍板的是确定性规则，规则在整条决策链路里占主导，LLM 只占很小一部分，既保留了模型的理解能力，又能做到“该拦的全拦、可放的才放”，为 AI 在高风险健康场景落地提供了可复制范式；民生与产业上，它让不懂营养学的子女和老人都能拿到看得懂、敢照用的方案，把国家食养指南落到一日三餐</w:t>
      </w:r>
      <w:r>
        <w:t>，</w:t>
      </w:r>
      <w:r>
        <w:rPr>
          <w:rFonts w:hint="eastAsia" w:ascii="宋体" w:hAnsi="宋体" w:eastAsia="宋体" w:cs="宋体"/>
        </w:rPr>
        <w:t>既能减轻家庭照护负担，也能为公共营养治理提供微观支撑。</w:t>
      </w:r>
    </w:p>
    <w:p w14:paraId="18FABBD9">
      <w:pPr>
        <w:pStyle w:val="3"/>
        <w:bidi w:val="0"/>
        <w:ind w:left="0" w:leftChars="0" w:firstLine="0" w:firstLineChars="0"/>
        <w:rPr>
          <w:rFonts w:hint="eastAsia"/>
        </w:rPr>
      </w:pPr>
      <w:bookmarkStart w:id="9" w:name="_Toc18096"/>
      <w:r>
        <w:rPr>
          <w:rFonts w:hint="eastAsia"/>
        </w:rPr>
        <w:t>（二）</w:t>
      </w:r>
      <w:r>
        <w:rPr>
          <w:rFonts w:hint="eastAsia"/>
          <w:lang w:val="en-US" w:eastAsia="zh-CN"/>
        </w:rPr>
        <w:t>目标</w:t>
      </w:r>
      <w:r>
        <w:rPr>
          <w:rFonts w:hint="eastAsia"/>
        </w:rPr>
        <w:t>定位</w:t>
      </w:r>
      <w:bookmarkEnd w:id="8"/>
      <w:bookmarkEnd w:id="9"/>
    </w:p>
    <w:p w14:paraId="00750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Times New Roman"/>
          <w:b w:val="0"/>
          <w:sz w:val="24"/>
          <w:szCs w:val="24"/>
          <w:lang w:val="en-US" w:eastAsia="zh-CN"/>
        </w:rPr>
        <w:t>本作品选择参加算法创新赛·AI+场景创新，核心不在于“选了一个好场景”，而在于场景特性对技术方案的决定作用——场景不是背景板，而是技术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方案的约束来源。小膳管家面对的场景有四个</w:t>
      </w:r>
      <w:r>
        <w:rPr>
          <w:rFonts w:hint="eastAsia" w:ascii="宋体" w:hAnsi="宋体" w:eastAsia="宋体" w:cs="宋体"/>
          <w:i w:val="0"/>
          <w:iCs w:val="0"/>
          <w:caps w:val="0"/>
          <w:color w:val="1A1A1A"/>
          <w:spacing w:val="0"/>
          <w:sz w:val="24"/>
          <w:szCs w:val="24"/>
          <w:shd w:val="clear" w:fill="FFFFFF"/>
        </w:rPr>
        <w:t>不可规避的技术需求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042372C5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</w:pPr>
      <w:r>
        <w:rPr>
          <w:rFonts w:hint="eastAsia" w:ascii="宋体" w:hAnsi="宋体" w:eastAsia="宋体" w:cs="宋体"/>
        </w:rPr>
        <w:t>一桌人，忌口各异：父亲高血压、母亲痛风、孩子过敏，一张忌口清单管不了全家的饭，必须按成员分别判定；</w:t>
      </w:r>
      <w:r>
        <w:rPr>
          <w:rFonts w:hint="eastAsia" w:ascii="宋体" w:hAnsi="宋体" w:eastAsia="宋体" w:cs="宋体"/>
        </w:rPr>
        <w:br/>
      </w:r>
      <w:r>
        <w:rPr>
          <w:rFonts w:hint="eastAsia" w:ascii="宋体" w:hAnsi="宋体" w:eastAsia="宋体" w:cs="宋体"/>
        </w:rPr>
        <w:t>② 红线要分级：过敏沾一点就是事故，“提醒一句”根本拦不住，必须直接否决；慢病有剂量阈值，替换达标就能放行；</w:t>
      </w:r>
      <w:r>
        <w:rPr>
          <w:rFonts w:hint="eastAsia" w:ascii="宋体" w:hAnsi="宋体" w:eastAsia="宋体" w:cs="宋体"/>
        </w:rPr>
        <w:br/>
      </w:r>
      <w:r>
        <w:t>③ 表达常常含糊：“我不舒服吃啥”信息太少，系统要判断信息够不够，不够就主动追问；</w:t>
      </w:r>
      <w:r>
        <w:br/>
      </w:r>
      <w:r>
        <w:t>④ 结果要能直接用：使用者是不懂营养学的子女和老人，每条建议都要有出处、可核对，还要说得明白。</w:t>
      </w:r>
    </w:p>
    <w:p w14:paraId="26EDA8EB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围绕上述四个约束，本作品的目标可以按"解决什么问题、做到什么指标、产生什么效益、处于什么位置"四个方面界定。</w:t>
      </w:r>
    </w:p>
    <w:p w14:paraId="1A935464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期解决的问题：不是再做一个菜谱推荐工具，而是做一台能替家庭把关的餐桌决策机，把国家膳食指南与食养指南里白纸黑字的条文，转成一条可被程序否决的硬约束，让每一次推荐都先过健康关，再谈怎么做、去哪吃。</w:t>
      </w:r>
    </w:p>
    <w:p w14:paraId="23C74346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具体而言，四类问题要在同一次会话里被一次性解决：多成员家庭的忌口冲突、慢病红线的分级判定、模糊需求的主动澄清、结果的可执行与可核对。</w:t>
      </w:r>
    </w:p>
    <w:p w14:paraId="1BA6E608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达成的技术指标：硬性过敏原与禁忌拦截率达到</w:t>
      </w:r>
      <w:r>
        <w:rPr>
          <w:rFonts w:hint="eastAsia" w:ascii="宋体" w:hAnsi="宋体" w:eastAsia="宋体" w:cs="宋体"/>
          <w:lang w:val="en-US" w:eastAsia="zh-CN"/>
        </w:rPr>
        <w:t>100</w:t>
      </w:r>
      <w:r>
        <w:rPr>
          <w:rFonts w:hint="eastAsia" w:ascii="宋体" w:hAnsi="宋体" w:eastAsia="宋体" w:cs="宋体"/>
        </w:rPr>
        <w:t xml:space="preserve">%（对照实测由 0/10 提升至 10/10）；健康红线误拦率为 0%，即合规菜品不因过度保守被拦下；健康结论 </w:t>
      </w:r>
      <w:r>
        <w:rPr>
          <w:rFonts w:hint="eastAsia" w:ascii="宋体" w:hAnsi="宋体" w:eastAsia="宋体" w:cs="宋体"/>
          <w:lang w:eastAsia="zh-CN"/>
        </w:rPr>
        <w:t>100%</w:t>
      </w:r>
      <w:r>
        <w:rPr>
          <w:rFonts w:hint="eastAsia" w:ascii="宋体" w:hAnsi="宋体" w:eastAsia="宋体" w:cs="宋体"/>
        </w:rPr>
        <w:t xml:space="preserve"> 可回溯到具体文件名与页码；护栏审计单次耗时中位数为 0.17 毫秒；人机对照中，使用本作品的实验组任务完成率 91.7%、健康合规率 95.8%、决策耗时下降 68.4%。</w:t>
      </w:r>
    </w:p>
    <w:p w14:paraId="474DAD63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产生的科研效益：一是把 27 份国家权威文件结构化为 1435 个可页码定位的知识切片，形成可检索、可核对、可复用的食养知识资产；二是沉淀出一套面向"带硬约束的民生场景"的架构方法，即约束按作用域建模、风险分级走确定性否决、信息充分性由显式门控判断、结论必须可溯源，这套方法不依赖具体菜系或具体病症，可迁移到其他健康与安全类决策场景；三是建成一套无 API 密钥即可复现的回归体系，把 1080 个用例、5 项冒烟检查中历次出现过的判定缺陷固化为用例，使安全行为可回归验证。</w:t>
      </w:r>
    </w:p>
    <w:p w14:paraId="4A0EE873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生的实际效益：面向慢病老人家庭，把照护者从"不懂营养学却要负责病人一日三餐"的焦虑中解放出来；面向外卖人群，输出可执行的"点单红线"，让"吃外卖等于不健康"变成能照着点、能摸得着的规则。试点阶段已在益阳 4 户家庭连续运行 2 周，累计约 46 次会话、输出 92 道候选菜、触发 9 次健康拦截，验证了从"知道标准"到"做出决策"这一段确实能被系统接住。</w:t>
      </w:r>
    </w:p>
    <w:p w14:paraId="4403CCD2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作品在"AI+场景创新"领域的核心定位是：以场景约束倒逼架构选择。四个痛点都不是换一个更强的提示词就能解决的，它们分别要求"按成员生效的约束表示""确定性否决通道""信息充分性门控""可溯源检索与确定性输出"。这四项技术选择由场景决定，也构成本作品与普通菜谱类产品、通用对话式 AI 的根本分野——后者提供的是看起来合理的建议，本作品提供的是可被程序否决、可被逐条核对的安全结论。</w:t>
      </w:r>
    </w:p>
    <w:p w14:paraId="37E9AC99">
      <w:pPr>
        <w:pStyle w:val="2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hAnsi="黑体" w:eastAsia="黑体" w:cs="黑体"/>
        </w:rPr>
      </w:pPr>
      <w:bookmarkStart w:id="10" w:name="_Toc26580"/>
      <w:bookmarkStart w:id="11" w:name="_Toc29234"/>
      <w:r>
        <w:rPr>
          <w:rFonts w:hint="eastAsia" w:ascii="黑体" w:hAnsi="黑体" w:eastAsia="黑体" w:cs="黑体"/>
        </w:rPr>
        <w:t>主</w:t>
      </w:r>
      <w:r>
        <w:rPr>
          <w:rFonts w:hint="eastAsia" w:ascii="黑体" w:hAnsi="黑体" w:eastAsia="黑体" w:cs="黑体"/>
          <w:lang w:val="en-US" w:eastAsia="zh-CN"/>
        </w:rPr>
        <w:t>要</w:t>
      </w:r>
      <w:r>
        <w:rPr>
          <w:rFonts w:hint="eastAsia" w:ascii="黑体" w:hAnsi="黑体" w:eastAsia="黑体" w:cs="黑体"/>
        </w:rPr>
        <w:t>内容</w:t>
      </w:r>
      <w:bookmarkEnd w:id="10"/>
      <w:bookmarkEnd w:id="11"/>
    </w:p>
    <w:p w14:paraId="202BB4B1">
      <w:pPr>
        <w:pStyle w:val="3"/>
        <w:keepNext/>
        <w:keepLines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黑体" w:hAnsi="黑体" w:eastAsia="黑体" w:cs="黑体"/>
        </w:rPr>
      </w:pPr>
      <w:bookmarkStart w:id="12" w:name="_Toc17963"/>
      <w:bookmarkStart w:id="13" w:name="_Toc18699"/>
      <w:r>
        <w:rPr>
          <w:rFonts w:hint="eastAsia" w:ascii="黑体" w:hAnsi="黑体" w:eastAsia="黑体" w:cs="黑体"/>
        </w:rPr>
        <w:t>需求分析</w:t>
      </w:r>
      <w:bookmarkEnd w:id="12"/>
      <w:bookmarkEnd w:id="13"/>
    </w:p>
    <w:p w14:paraId="33CEFB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b/>
          <w:sz w:val="24"/>
          <w:szCs w:val="24"/>
        </w:rPr>
        <w:t>用户需求调研</w:t>
      </w:r>
    </w:p>
    <w:p w14:paraId="6EF1EFC3">
      <w:pPr>
        <w:spacing w:after="120"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调研方法</w:t>
      </w:r>
      <w:r>
        <w:rPr>
          <w:rFonts w:hint="eastAsia" w:ascii="宋体" w:hAnsi="宋体" w:cs="宋体"/>
          <w:b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Times New Roman"/>
          <w:b w:val="0"/>
          <w:sz w:val="24"/>
          <w:szCs w:val="24"/>
          <w:lang w:val="en-US" w:eastAsia="zh-CN"/>
        </w:rPr>
        <w:t>采用便利抽样+家庭定点，目标问卷40份、深度访谈3人，人群覆盖在校同学及其家人——家中老人、父母、小孩，以及独居的青年兄长；工具为线上问卷；局限性：老年样本偏少、样本集中于本地家庭等。（本项目采用便利抽样：全线上发放</w:t>
      </w:r>
      <w:r>
        <w:rPr>
          <w:rFonts w:hint="eastAsia" w:ascii="宋体" w:hAnsi="宋体" w:cs="Times New Roman"/>
          <w:b w:val="0"/>
          <w:sz w:val="24"/>
          <w:szCs w:val="24"/>
          <w:lang w:val="en-US" w:eastAsia="zh-CN"/>
        </w:rPr>
        <w:t>40</w:t>
      </w:r>
      <w:r>
        <w:rPr>
          <w:rFonts w:hint="eastAsia" w:ascii="宋体" w:hAnsi="宋体" w:eastAsia="宋体" w:cs="Times New Roman"/>
          <w:b w:val="0"/>
          <w:sz w:val="24"/>
          <w:szCs w:val="24"/>
          <w:lang w:val="en-US" w:eastAsia="zh-CN"/>
        </w:rPr>
        <w:t>份、回收有效问卷</w:t>
      </w:r>
      <w:r>
        <w:rPr>
          <w:rFonts w:hint="eastAsia" w:ascii="宋体" w:hAnsi="宋体" w:cs="Times New Roman"/>
          <w:b w:val="0"/>
          <w:sz w:val="24"/>
          <w:szCs w:val="24"/>
          <w:lang w:val="en-US" w:eastAsia="zh-CN"/>
        </w:rPr>
        <w:t>40</w:t>
      </w:r>
      <w:r>
        <w:rPr>
          <w:rFonts w:hint="eastAsia" w:ascii="宋体" w:hAnsi="宋体" w:eastAsia="宋体" w:cs="Times New Roman"/>
          <w:b w:val="0"/>
          <w:sz w:val="24"/>
          <w:szCs w:val="24"/>
          <w:lang w:val="en-US" w:eastAsia="zh-CN"/>
        </w:rPr>
        <w:t>份；偏差说明：样本来自在校同学及其家庭、老年人样本偏少、地域集中于本地，结论不宜外推至全国）</w:t>
      </w:r>
    </w:p>
    <w:p w14:paraId="7CF52C05">
      <w:pPr>
        <w:spacing w:after="120" w:line="24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问卷核心维度</w:t>
      </w:r>
      <w:r>
        <w:rPr>
          <w:rFonts w:hint="eastAsia" w:ascii="宋体" w:hAnsi="宋体" w:eastAsia="宋体" w:cs="宋体"/>
          <w:b w:val="0"/>
          <w:sz w:val="24"/>
          <w:szCs w:val="24"/>
        </w:rPr>
        <w:t>：</w:t>
      </w:r>
      <w:r>
        <w:rPr>
          <w:rFonts w:hint="eastAsia" w:ascii="宋体" w:hAnsi="宋体" w:eastAsia="宋体" w:cs="Times New Roman"/>
          <w:b w:val="0"/>
          <w:sz w:val="24"/>
          <w:szCs w:val="24"/>
          <w:lang w:val="en-US" w:eastAsia="zh-CN"/>
        </w:rPr>
        <w:t>①基本信息（年龄、慢病、禁忌）；②痛点程度（1–5 分）；③使用习惯（是否用过菜谱 App、是否愿拍冰箱照）；④信任与隐私（AI 建议信任度、是否愿告知慢病信息）；⑤功能优先级排序（拍照识菜、控糖控盐、省钱快手、适老大字语音、边角料不浪费）</w:t>
      </w:r>
      <w:r>
        <w:rPr>
          <w:rFonts w:hint="eastAsia" w:ascii="宋体" w:hAnsi="宋体" w:eastAsia="宋体" w:cs="宋体"/>
          <w:b w:val="0"/>
          <w:sz w:val="24"/>
          <w:szCs w:val="24"/>
        </w:rPr>
        <w:t>。</w:t>
      </w:r>
    </w:p>
    <w:p w14:paraId="0C1440A2">
      <w:pPr>
        <w:spacing w:line="240" w:lineRule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本轮调研共回收有效问卷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  <w:t>40份，覆盖在校同学本人及其家人——家中老人、父母、小孩，以及独居的青年兄长；另完成深度访谈 3 人。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统计结果如下表：</w:t>
      </w:r>
    </w:p>
    <w:p w14:paraId="03BFDC5E">
      <w:pPr>
        <w:spacing w:after="120" w:line="240" w:lineRule="auto"/>
        <w:ind w:left="0" w:leftChars="0" w:firstLine="0" w:firstLineChars="0"/>
        <w:jc w:val="center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表1问卷调研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7"/>
        <w:gridCol w:w="4313"/>
        <w:gridCol w:w="2884"/>
      </w:tblGrid>
      <w:tr w14:paraId="3459D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FC7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246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260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结果</w:t>
            </w:r>
          </w:p>
        </w:tc>
        <w:tc>
          <w:tcPr>
            <w:tcW w:w="164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5CC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0661A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E2C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有效问卷数</w:t>
            </w:r>
          </w:p>
        </w:tc>
        <w:tc>
          <w:tcPr>
            <w:tcW w:w="246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697C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40 份（全线上）</w:t>
            </w:r>
          </w:p>
        </w:tc>
        <w:tc>
          <w:tcPr>
            <w:tcW w:w="164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71E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目标 40 份</w:t>
            </w:r>
          </w:p>
        </w:tc>
      </w:tr>
      <w:tr w14:paraId="03149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C3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年龄分布（&gt;45 占比）</w:t>
            </w:r>
          </w:p>
        </w:tc>
        <w:tc>
          <w:tcPr>
            <w:tcW w:w="2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123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42.5%（17/40）</w:t>
            </w:r>
          </w:p>
        </w:tc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2ED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覆盖在校同学及其家人（老人/ 父母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小孩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独居青年兄长）</w:t>
            </w:r>
          </w:p>
        </w:tc>
      </w:tr>
      <w:tr w14:paraId="25C00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737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痛点 Top3</w:t>
            </w:r>
          </w:p>
        </w:tc>
        <w:tc>
          <w:tcPr>
            <w:tcW w:w="2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86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①"每天不知道吃什么" ②"老人饮食照顾压力" ③"担心营养不均衡"</w:t>
            </w:r>
          </w:p>
        </w:tc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BBE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按选择频次</w:t>
            </w:r>
          </w:p>
        </w:tc>
      </w:tr>
      <w:tr w14:paraId="1233A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4A1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使用习惯</w:t>
            </w:r>
          </w:p>
        </w:tc>
        <w:tc>
          <w:tcPr>
            <w:tcW w:w="2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7B0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用过菜谱 App（67.5%）、愿拍冰箱照（72.5%）</w:t>
            </w:r>
          </w:p>
        </w:tc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8AD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市场基础好</w:t>
            </w:r>
          </w:p>
        </w:tc>
      </w:tr>
      <w:tr w14:paraId="42BA1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26E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功能需求排序</w:t>
            </w:r>
          </w:p>
        </w:tc>
        <w:tc>
          <w:tcPr>
            <w:tcW w:w="2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9C9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①控糖控盐 ②拍照识菜 ③适老大字语音 ④省钱快手 ⑤边角料不浪费</w:t>
            </w:r>
          </w:p>
        </w:tc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C13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按均值排序</w:t>
            </w:r>
          </w:p>
        </w:tc>
      </w:tr>
      <w:tr w14:paraId="5736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CA0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AI建议信任度均值</w:t>
            </w:r>
          </w:p>
        </w:tc>
        <w:tc>
          <w:tcPr>
            <w:tcW w:w="24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A5D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3.4 分</w:t>
            </w:r>
          </w:p>
        </w:tc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A06E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信任度偏低</w:t>
            </w:r>
          </w:p>
        </w:tc>
      </w:tr>
      <w:tr w14:paraId="7409B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263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愿告知慢病信息占比</w:t>
            </w:r>
          </w:p>
        </w:tc>
        <w:tc>
          <w:tcPr>
            <w:tcW w:w="246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20E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55%（22/40）</w:t>
            </w:r>
          </w:p>
        </w:tc>
        <w:tc>
          <w:tcPr>
            <w:tcW w:w="164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34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隐私顾虑证据</w:t>
            </w:r>
          </w:p>
        </w:tc>
      </w:tr>
    </w:tbl>
    <w:p w14:paraId="15439EF1"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结论：调研显示 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75.0%（30/40）受访者因健康顾虑对日常饮食存在焦虑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，但</w:t>
      </w: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-SA"/>
        </w:rPr>
        <w:t>仅 22.5%（9/40）信任现有菜谱类 App 的建议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——“有焦虑、缺信任”的落差，印证了本作品以“健康护栏 + 全链路溯源标注”切入的必要性；</w:t>
      </w:r>
    </w:p>
    <w:p w14:paraId="14645FDE">
      <w:pPr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/>
          <w:b/>
          <w:sz w:val="24"/>
          <w:lang w:val="en-US" w:eastAsia="zh-CN"/>
        </w:rPr>
        <w:t>2.</w:t>
      </w:r>
      <w:r>
        <w:rPr>
          <w:rFonts w:hint="eastAsia" w:ascii="宋体" w:hAnsi="宋体" w:eastAsia="宋体"/>
          <w:b/>
          <w:sz w:val="24"/>
        </w:rPr>
        <w:t>问题剖析</w:t>
      </w:r>
    </w:p>
    <w:p w14:paraId="69E9FD3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有饮食标准，却难以落实到餐桌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我国 18 岁及以上居民高血压患病率达 27.5%，糖尿病约 11.9%，慢性病死亡占居民总死亡的 88%，患者约 4.5 亿；不合理膳食正是主要危险因素之一，2016 年全球疾病负担研究显示，饮食相关疾病负担约占 15.9%。为此，《健康中国行动（2019—2030年）》把合理膳食列为重点行动，国家卫健委自 2023 年以来已分三批发布 11 项食养指南。但指南解决的是“标准”，解决不了“这顿饭怎么吃”，标准与一日三餐之间横着一条执行鸿沟。</w:t>
      </w:r>
    </w:p>
    <w:p w14:paraId="7210078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人们想吃得健康，却被现实条件限制住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生活节奏快、不会做饭、依赖外卖，没精力对着指南做规划；指南是专业文本，普通人看不懂，也不会换算成食材和菜量；老人理解能力下降、做饭不便，子女有孝心却缺营养学知识；调研还显示，75.0% 的人因健康顾虑对饮食焦虑，但对 AI 饮食建议的信任度均值仅 3.4/5，52.5% 的人不愿主动告知慢病信息。想吃得健康，却既不知道怎么做，也不敢照着谁说的做。</w:t>
      </w:r>
    </w:p>
    <w:p w14:paraId="38E1FCC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</w:rPr>
        <w:t>四重瓶颈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既在场景应用，也在 AI 技术</w:t>
      </w:r>
      <w:r>
        <w:rPr>
          <w:rFonts w:hint="eastAsia" w:ascii="宋体" w:hAnsi="宋体" w:eastAsia="宋体" w:cs="宋体"/>
          <w:lang w:val="en-US" w:eastAsia="zh-CN"/>
        </w:rPr>
        <w:t>普通菜谱类产品停留在“信息搬运”层——给出一堆做法，不回答“你能不能吃、今晚吃什么”。这一层缺失的背后是四重瓶颈，与上文四个场景痛点逐条对应：</w:t>
      </w:r>
    </w:p>
    <w:p w14:paraId="728711D0">
      <w:pPr>
        <w:spacing w:after="120"/>
        <w:ind w:left="0" w:leftChars="0" w:firstLine="0" w:firstLineChars="0"/>
        <w:jc w:val="center"/>
        <w:rPr>
          <w:rFonts w:hint="default" w:ascii="黑体" w:hAnsi="黑体" w:eastAsia="黑体" w:cs="黑体"/>
          <w:b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表2四重瓶颈</w:t>
      </w:r>
    </w:p>
    <w:tbl>
      <w:tblPr>
        <w:tblStyle w:val="15"/>
        <w:tblW w:w="9027" w:type="dxa"/>
        <w:jc w:val="center"/>
        <w:tblBorders>
          <w:top w:val="single" w:color="auto" w:sz="4" w:space="0"/>
          <w:left w:val="single" w:color="auto" w:sz="4" w:space="0"/>
          <w:bottom w:val="single" w:color="auto" w:sz="6" w:space="0"/>
          <w:right w:val="single" w:color="auto" w:sz="4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3357"/>
      </w:tblGrid>
      <w:tr w14:paraId="669D72B8">
        <w:tblPrEx>
          <w:tblBorders>
            <w:top w:val="single" w:color="auto" w:sz="4" w:space="0"/>
            <w:left w:val="single" w:color="auto" w:sz="4" w:space="0"/>
            <w:bottom w:val="single" w:color="auto" w:sz="6" w:space="0"/>
            <w:right w:val="single" w:color="auto" w:sz="4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auto" w:sz="12" w:space="0"/>
              <w:bottom w:val="single" w:color="auto" w:sz="6" w:space="0"/>
              <w:right w:val="nil"/>
            </w:tcBorders>
            <w:noWrap w:val="0"/>
            <w:vAlign w:val="top"/>
          </w:tcPr>
          <w:p w14:paraId="323E5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瓶颈</w:t>
            </w:r>
          </w:p>
        </w:tc>
        <w:tc>
          <w:tcPr>
            <w:tcW w:w="283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368D9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场景问题（场景应用维度）</w:t>
            </w:r>
          </w:p>
        </w:tc>
        <w:tc>
          <w:tcPr>
            <w:tcW w:w="3357" w:type="dxa"/>
            <w:tcBorders>
              <w:top w:val="single" w:color="auto" w:sz="12" w:space="0"/>
              <w:left w:val="nil"/>
              <w:bottom w:val="single" w:color="auto" w:sz="6" w:space="0"/>
            </w:tcBorders>
            <w:noWrap w:val="0"/>
            <w:vAlign w:val="top"/>
          </w:tcPr>
          <w:p w14:paraId="4B614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为什么难破（AI 技术维度）</w:t>
            </w:r>
          </w:p>
        </w:tc>
      </w:tr>
      <w:tr w14:paraId="4CCCBA35">
        <w:tblPrEx>
          <w:tblBorders>
            <w:top w:val="single" w:color="auto" w:sz="4" w:space="0"/>
            <w:left w:val="single" w:color="auto" w:sz="4" w:space="0"/>
            <w:bottom w:val="single" w:color="auto" w:sz="6" w:space="0"/>
            <w:right w:val="single" w:color="auto" w:sz="4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2835" w:type="dxa"/>
            <w:tcBorders>
              <w:top w:val="single" w:color="auto" w:sz="6" w:space="0"/>
              <w:left w:val="nil"/>
              <w:bottom w:val="nil"/>
              <w:right w:val="nil"/>
            </w:tcBorders>
            <w:noWrap w:val="0"/>
            <w:vAlign w:val="top"/>
          </w:tcPr>
          <w:p w14:paraId="31EAC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① 一桌人，忌口各异</w:t>
            </w:r>
          </w:p>
        </w:tc>
        <w:tc>
          <w:tcPr>
            <w:tcW w:w="2835" w:type="dxa"/>
            <w:tcBorders>
              <w:top w:val="single" w:color="auto" w:sz="6" w:space="0"/>
              <w:left w:val="nil"/>
              <w:bottom w:val="nil"/>
              <w:right w:val="nil"/>
            </w:tcBorders>
            <w:noWrap w:val="0"/>
            <w:vAlign w:val="top"/>
          </w:tcPr>
          <w:p w14:paraId="3CFAB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父亲高血压、母亲痛风、孩子过敏，一张忌口清单管不了全家的饭</w:t>
            </w:r>
          </w:p>
        </w:tc>
        <w:tc>
          <w:tcPr>
            <w:tcW w:w="3357" w:type="dxa"/>
            <w:tcBorders>
              <w:top w:val="single" w:color="auto" w:sz="6" w:space="0"/>
              <w:left w:val="nil"/>
              <w:bottom w:val="nil"/>
              <w:right w:val="nil"/>
            </w:tcBorders>
            <w:noWrap w:val="0"/>
            <w:vAlign w:val="top"/>
          </w:tcPr>
          <w:p w14:paraId="7E68A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约束必须绑定到人：现有推荐只服务单用户，模型也不知道“这条忌口归谁”；简单合并成全家禁用，还会“禁对了菜、禁错了人”</w:t>
            </w:r>
          </w:p>
        </w:tc>
      </w:tr>
      <w:tr w14:paraId="5D5A979D">
        <w:tblPrEx>
          <w:tblBorders>
            <w:top w:val="single" w:color="auto" w:sz="4" w:space="0"/>
            <w:left w:val="single" w:color="auto" w:sz="4" w:space="0"/>
            <w:bottom w:val="single" w:color="auto" w:sz="6" w:space="0"/>
            <w:right w:val="single" w:color="auto" w:sz="4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33094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② 红线要分级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91BC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过敏沾一点就是事故，“提醒一句”根本拦不住；慢病有剂量阈值，替换达标就能放行</w:t>
            </w:r>
          </w:p>
        </w:tc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F00A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提示词是软约束，模型可听可不听；LLM 是概率生成、无权否决——“零容忍”与“可替换”必须由代码级确定性规则分别把守</w:t>
            </w:r>
          </w:p>
        </w:tc>
      </w:tr>
      <w:tr w14:paraId="76797601">
        <w:tblPrEx>
          <w:tblBorders>
            <w:top w:val="single" w:color="auto" w:sz="4" w:space="0"/>
            <w:left w:val="single" w:color="auto" w:sz="4" w:space="0"/>
            <w:bottom w:val="single" w:color="auto" w:sz="6" w:space="0"/>
            <w:right w:val="single" w:color="auto" w:sz="4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62203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③ 表达常常含糊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5B4C1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“我不舒服吃啥”这类表达信息太少，病种、控制强度、适用人群常常缺失</w:t>
            </w:r>
          </w:p>
        </w:tc>
        <w:tc>
          <w:tcPr>
            <w:tcW w:w="335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7D700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直接问模型“信息够吗”等于让被考核者出考卷——必须把“够不够”变成集合差这类可判定运算</w:t>
            </w:r>
          </w:p>
        </w:tc>
      </w:tr>
      <w:tr w14:paraId="617397F7">
        <w:tblPrEx>
          <w:tblBorders>
            <w:top w:val="single" w:color="auto" w:sz="4" w:space="0"/>
            <w:left w:val="single" w:color="auto" w:sz="4" w:space="0"/>
            <w:bottom w:val="single" w:color="auto" w:sz="6" w:space="0"/>
            <w:right w:val="single" w:color="auto" w:sz="4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07B28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④ 结果要能直接用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43588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使用者是不懂营养学的子女和老人，每条建议都要有出处可核对，还要说得明白</w:t>
            </w:r>
          </w:p>
        </w:tc>
        <w:tc>
          <w:tcPr>
            <w:tcW w:w="335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4FEAC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生成式模型存在系统性幻觉风险，红线“当场想出来”、换一次提问就飘；需要独立规则复核 + 页码级溯源</w:t>
            </w:r>
          </w:p>
        </w:tc>
      </w:tr>
    </w:tbl>
    <w:p w14:paraId="78321FAA">
      <w:pPr>
        <w:pStyle w:val="11"/>
        <w:keepNext w:val="0"/>
        <w:keepLines w:val="0"/>
        <w:widowControl/>
        <w:suppressLineNumbers w:val="0"/>
        <w:bidi w:val="0"/>
        <w:spacing w:line="240" w:lineRule="auto"/>
        <w:rPr>
          <w:rStyle w:val="19"/>
          <w:rFonts w:hint="eastAsia" w:ascii="宋体" w:hAnsi="宋体" w:eastAsia="宋体" w:cs="宋体"/>
          <w:sz w:val="24"/>
          <w:szCs w:val="24"/>
        </w:rPr>
      </w:pPr>
      <w:r>
        <w:rPr>
          <w:rStyle w:val="19"/>
          <w:rFonts w:hint="eastAsia" w:ascii="宋体" w:hAnsi="宋体" w:eastAsia="宋体" w:cs="宋体"/>
          <w:sz w:val="24"/>
          <w:szCs w:val="24"/>
        </w:rPr>
        <w:t>四重瓶颈不是四个孤立的产品缺点，它们分别对应一层缺失的能力，并与上文的四个场景痛点逐条对应。</w:t>
      </w:r>
    </w:p>
    <w:p w14:paraId="3B8864C7">
      <w:pPr>
        <w:pStyle w:val="11"/>
        <w:keepNext w:val="0"/>
        <w:keepLines w:val="0"/>
        <w:widowControl/>
        <w:suppressLineNumbers w:val="0"/>
        <w:bidi w:val="0"/>
        <w:spacing w:line="240" w:lineRule="auto"/>
        <w:ind w:left="0" w:leftChars="0" w:firstLine="0" w:firstLineChars="0"/>
        <w:rPr>
          <w:rStyle w:val="19"/>
        </w:rPr>
      </w:pPr>
      <w:r>
        <w:rPr>
          <w:rStyle w:val="19"/>
          <w:rFonts w:hint="eastAsia" w:ascii="宋体" w:hAnsi="宋体" w:eastAsia="宋体" w:cs="宋体"/>
          <w:sz w:val="24"/>
          <w:szCs w:val="24"/>
        </w:rPr>
        <w:t>图</w:t>
      </w:r>
      <w:r>
        <w:rPr>
          <w:rStyle w:val="19"/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Style w:val="19"/>
          <w:rFonts w:hint="eastAsia" w:ascii="宋体" w:hAnsi="宋体" w:eastAsia="宋体" w:cs="宋体"/>
          <w:sz w:val="24"/>
          <w:szCs w:val="24"/>
        </w:rPr>
        <w:t>先给出一个直观证据：搜“番茄鸡蛋”返回上千条结果，排序依据是评分和做过的人数，没有一条与用户的身体状况相关——用户拿到的是“一堆需要自己筛的做法”，而不是“这顿饭吃什么”。这正是表 1 的第④重瓶颈（结果要能直接用）：产品完成了检索，却没有完成决策，把选择成本原样转嫁给用户</w:t>
      </w:r>
      <w:r>
        <w:rPr>
          <w:rStyle w:val="19"/>
        </w:rPr>
        <w:t>。</w:t>
      </w:r>
    </w:p>
    <w:p w14:paraId="72A74D99">
      <w:pPr>
        <w:pStyle w:val="11"/>
        <w:keepNext w:val="0"/>
        <w:keepLines w:val="0"/>
        <w:widowControl/>
        <w:suppressLineNumbers w:val="0"/>
        <w:bidi w:val="0"/>
        <w:spacing w:line="240" w:lineRule="auto"/>
        <w:ind w:left="0" w:leftChars="0" w:firstLine="0" w:firstLineChars="0"/>
        <w:rPr>
          <w:rStyle w:val="19"/>
          <w:rFonts w:hint="eastAsia" w:eastAsia="宋体"/>
          <w:lang w:eastAsia="zh-CN"/>
        </w:rPr>
      </w:pPr>
      <w:r>
        <w:rPr>
          <w:rStyle w:val="19"/>
          <w:rFonts w:hint="eastAsia" w:eastAsia="宋体"/>
          <w:lang w:eastAsia="zh-CN"/>
        </w:rPr>
      </w:r>
    </w:p>
    <w:p w14:paraId="4BBBEC39">
      <w:pPr>
        <w:pStyle w:val="11"/>
        <w:keepNext w:val="0"/>
        <w:keepLines w:val="0"/>
        <w:widowControl/>
        <w:suppressLineNumbers w:val="0"/>
        <w:bidi w:val="0"/>
        <w:jc w:val="center"/>
      </w:pPr>
      <w:r>
        <w:rPr>
          <w:rStyle w:val="19"/>
          <w:rFonts w:hint="eastAsia" w:ascii="黑体" w:hAnsi="黑体" w:eastAsia="黑体" w:cs="黑体"/>
          <w:sz w:val="18"/>
          <w:szCs w:val="18"/>
        </w:rPr>
        <w:t>图</w:t>
      </w:r>
      <w:r>
        <w:rPr>
          <w:rStyle w:val="19"/>
          <w:rFonts w:hint="eastAsia" w:ascii="黑体" w:hAnsi="黑体" w:eastAsia="黑体" w:cs="黑体"/>
          <w:sz w:val="18"/>
          <w:szCs w:val="18"/>
          <w:lang w:val="en-US" w:eastAsia="zh-CN"/>
        </w:rPr>
        <w:t>1</w:t>
      </w:r>
      <w:r>
        <w:rPr>
          <w:rStyle w:val="19"/>
          <w:rFonts w:hint="eastAsia" w:ascii="黑体" w:hAnsi="黑体" w:eastAsia="黑体" w:cs="黑体"/>
          <w:sz w:val="18"/>
          <w:szCs w:val="18"/>
        </w:rPr>
        <w:t>普通菜谱工具的真实界面</w:t>
      </w:r>
    </w:p>
    <w:p w14:paraId="0C391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 w:cs="Times New Roman"/>
          <w:b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b w:val="0"/>
          <w:sz w:val="24"/>
          <w:szCs w:val="24"/>
          <w:lang w:val="en-US" w:eastAsia="zh-CN"/>
        </w:rPr>
        <w:t>本作品的关键解法：把“权威知识”作为硬护栏接入决策，让每次推荐都经过“能不能吃→怎么便宜做→附近有没有”三层决策，而非仅检索。四重瓶颈与四项设计逐条对应：约束绑定到具体成员、一菜多人分别判定（对应①）；确定性硬规则分级把关红线（对应②）；充分性门控判断信息够不够、不足则主动追问（对应③）；全链路溯源标注＋白话化表达保证结论可核对（对应④）。</w:t>
      </w:r>
    </w:p>
    <w:p w14:paraId="2D4DE1D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黑体" w:hAnsi="黑体" w:eastAsia="黑体" w:cs="黑体"/>
          <w:lang w:eastAsia="zh-CN"/>
        </w:rPr>
      </w:pPr>
      <w:bookmarkStart w:id="14" w:name="_Toc62"/>
      <w:bookmarkStart w:id="15" w:name="_Toc21778"/>
      <w:r>
        <w:rPr>
          <w:rFonts w:hint="eastAsia" w:ascii="黑体" w:hAnsi="黑体" w:eastAsia="黑体" w:cs="黑体"/>
          <w:lang w:eastAsia="zh-CN"/>
        </w:rPr>
        <w:t>（二）解决方案设计</w:t>
      </w:r>
      <w:bookmarkEnd w:id="14"/>
      <w:bookmarkEnd w:id="15"/>
    </w:p>
    <w:p w14:paraId="06CBA4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 w:ascii="宋体" w:hAnsi="宋体" w:eastAsia="宋体"/>
          <w:b/>
          <w:sz w:val="24"/>
        </w:rPr>
        <w:t>1. 技术路线规划</w:t>
      </w:r>
    </w:p>
    <w:p w14:paraId="6D72F07F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本系统采用“应用层—算法层—数据层”三层解耦架构，各层职责单一、可独立验证。运行时形成“输入 → 决策 → 知识与工具供给 → 护栏审核 → 结构化输出”的完整链路；其中确定性护栏属于横切安全控制，不单独计为架构层。多模态输入覆盖图像（拍照识别食材）、定位、自然语言文字和语音四类通道，用于捕获用户意图；其中图像识别由视觉模型完成。</w:t>
      </w:r>
    </w:p>
    <w:p w14:paraId="23FBE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</w:rPr>
        <w:t>决策中枢基于 LangGraph 构建显式状态图，将“思考—调用工具—再思考”的循环与条件分支建模为可观察、可中断、可持久化的图结构，而非传统 ReAct 式由模型自主驱动的隐式循环</w:t>
      </w:r>
      <w:r>
        <w:rPr>
          <w:rFonts w:hint="eastAsia"/>
          <w:sz w:val="24"/>
          <w:vertAlign w:val="superscript"/>
          <w:lang w:eastAsia="zh-CN"/>
        </w:rPr>
        <w:t>[4][5]</w:t>
      </w:r>
      <w:r>
        <w:rPr>
          <w:rFonts w:hint="eastAsia"/>
        </w:rPr>
        <w:t>——前者主张由确定性流程而非 Agent 自行掌舵，后者主张把复杂任务拆解为可组合的简单流程，但二者均未涉及“家庭多成员健康约束”的作用域问题；本文在此之上把状态图用于承载按成员生效的硬约束。编排图包含</w:t>
      </w:r>
      <w:r>
        <w:rPr>
          <w:rFonts w:hint="eastAsia"/>
          <w:lang w:eastAsia="zh-CN"/>
        </w:rPr>
        <w:t>13</w:t>
      </w:r>
      <w:r>
        <w:rPr>
          <w:rFonts w:hint="eastAsia"/>
        </w:rPr>
        <w:t>个节点、5 条条件边和 8 条普通边，其中 2 条边构成回环；主链为：condense_history（历史压缩）→ ingredient_gate（图片食材确认门）→ profile_gate（充分性门控）→ chef_think（思考）⇄ run_tools（工具调用）→ verify_answer（健康审计）→ structure_answer（结构化收尾）。每一步决策、工具调用与规则审计均写入结构化日志，支持全链路追溯。</w:t>
      </w:r>
      <w:r>
        <w:rPr>
          <w:rFonts w:hint="eastAsia" w:eastAsia="宋体"/>
          <w:lang w:val="en-US" w:eastAsia="zh-CN"/>
        </w:rPr>
      </w:r>
    </w:p>
    <w:p w14:paraId="668646C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 w:val="0"/>
          <w:sz w:val="18"/>
          <w:szCs w:val="18"/>
        </w:rPr>
        <w:t>图</w:t>
      </w: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2</w:t>
      </w:r>
      <w:r>
        <w:rPr>
          <w:rFonts w:hint="eastAsia" w:ascii="黑体" w:hAnsi="黑体" w:eastAsia="黑体" w:cs="黑体"/>
          <w:b w:val="0"/>
          <w:sz w:val="18"/>
          <w:szCs w:val="18"/>
        </w:rPr>
        <w:t>决策中枢状态图</w:t>
      </w:r>
    </w:p>
    <w:p w14:paraId="4B532C3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</w:p>
    <w:p w14:paraId="02C2EA3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</w:p>
    <w:p w14:paraId="25CD2E7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知识层由权威护栏</w:t>
      </w:r>
      <w:r>
        <w:rPr>
          <w:rFonts w:hint="eastAsia" w:ascii="宋体" w:hAnsi="宋体" w:eastAsia="宋体" w:cs="宋体"/>
          <w:b/>
          <w:bCs/>
        </w:rPr>
        <w:t xml:space="preserve"> RAG（检索增强生成</w:t>
      </w:r>
      <w:r>
        <w:rPr>
          <w:rFonts w:hint="eastAsia" w:ascii="宋体" w:hAnsi="宋体" w:cs="宋体"/>
          <w:b/>
          <w:bCs/>
          <w:sz w:val="24"/>
          <w:vertAlign w:val="superscript"/>
          <w:lang w:eastAsia="zh-CN"/>
        </w:rPr>
        <w:t>[6]</w:t>
      </w:r>
      <w:r>
        <w:rPr>
          <w:rFonts w:hint="eastAsia" w:ascii="宋体" w:hAnsi="宋体" w:eastAsia="宋体" w:cs="宋体"/>
          <w:b/>
          <w:bCs/>
        </w:rPr>
        <w:t>）与动态发现</w:t>
      </w:r>
      <w:r>
        <w:rPr>
          <w:rFonts w:hint="eastAsia" w:ascii="宋体" w:hAnsi="宋体" w:eastAsia="宋体" w:cs="宋体"/>
        </w:rPr>
        <w:t>双支柱构成。权威护栏 RAG 将 27 份国家权威文件（含 6 项食养指南与《中国居民膳食指南（2022）》</w:t>
      </w:r>
      <w:r>
        <w:rPr>
          <w:rFonts w:hint="eastAsia" w:ascii="宋体" w:hAnsi="宋体" w:cs="宋体"/>
          <w:sz w:val="24"/>
          <w:vertAlign w:val="superscript"/>
          <w:lang w:eastAsia="zh-CN"/>
        </w:rPr>
        <w:t>[7]</w:t>
      </w:r>
      <w:r>
        <w:rPr>
          <w:rFonts w:hint="eastAsia" w:ascii="宋体" w:hAnsi="宋体" w:eastAsia="宋体" w:cs="宋体"/>
        </w:rPr>
        <w:t>）与国标</w:t>
      </w:r>
      <w:r>
        <w:rPr>
          <w:rFonts w:hint="eastAsia" w:ascii="宋体" w:hAnsi="宋体" w:cs="宋体"/>
          <w:sz w:val="24"/>
          <w:vertAlign w:val="superscript"/>
          <w:lang w:eastAsia="zh-CN"/>
        </w:rPr>
        <w:t>[8][9]</w:t>
      </w:r>
      <w:r>
        <w:rPr>
          <w:rFonts w:hint="eastAsia" w:ascii="宋体" w:hAnsi="宋体" w:eastAsia="宋体" w:cs="宋体"/>
        </w:rPr>
        <w:t xml:space="preserve"> PDF 经 parser_router 确定性路由解析、切片并为每个切片附加页码锚定前缀以保留文档结构，再写入 Chroma 向量库，共 </w:t>
      </w:r>
      <w:r>
        <w:rPr>
          <w:rFonts w:hint="eastAsia" w:ascii="宋体" w:hAnsi="宋体" w:eastAsia="宋体" w:cs="宋体"/>
          <w:b/>
          <w:bCs/>
        </w:rPr>
        <w:t>1435 个切片</w:t>
      </w:r>
      <w:r>
        <w:rPr>
          <w:rFonts w:hint="eastAsia" w:ascii="宋体" w:hAnsi="宋体" w:eastAsia="宋体" w:cs="宋体"/>
        </w:rPr>
        <w:t>。检索链路为：查询转换（多查询改写）→ 混合检索（bge-small-zh-v1.5 稠密向量 + BM25，经 RRF 倒数排名融合）→ 元数据过滤 → cross-encoder 重排 → 引用标注 → 消融评估。动态发现通过 web_search 获取最新菜谱与成品图，通过 nearby_food 获取周边餐饮信息；nearby_food 已接入高德 POI（.env 配置 AMAP_KEY），前端以高德 JS SDK 渲染真实地图并支持一键跳转导航；无 key、断网或接口报错时自动回退内置 mock 数据集兜底</w:t>
      </w:r>
      <w:r>
        <w:rPr>
          <w:rFonts w:hint="eastAsia" w:ascii="宋体" w:hAnsi="宋体" w:cs="宋体"/>
          <w:lang w:eastAsia="zh-CN"/>
        </w:rPr>
        <w:t>。</w:t>
      </w:r>
    </w:p>
    <w:p w14:paraId="6A8634F0">
      <w:pPr>
        <w:keepNext/>
        <w:spacing w:after="60"/>
        <w:ind w:left="0" w:leftChars="0" w:firstLine="0" w:firstLineChars="0"/>
        <w:jc w:val="center"/>
        <w:rPr>
          <w:rFonts w:hint="eastAsia" w:ascii="黑体" w:hAnsi="黑体" w:eastAsia="黑体" w:cs="黑体"/>
          <w:b w:val="0"/>
          <w:sz w:val="21"/>
          <w:szCs w:val="21"/>
        </w:rPr>
      </w:pPr>
      <w:r/>
      <w:r>
        <w:rPr>
          <w:rFonts w:hint="eastAsia" w:ascii="黑体" w:hAnsi="黑体" w:eastAsia="黑体" w:cs="黑体"/>
          <w:b w:val="0"/>
          <w:sz w:val="18"/>
          <w:szCs w:val="18"/>
        </w:rPr>
        <w:t>图</w:t>
      </w: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sz w:val="18"/>
          <w:szCs w:val="18"/>
        </w:rPr>
        <w:t>权威护栏 RAG 全链路</w:t>
      </w:r>
    </w:p>
    <w:p w14:paraId="5E4B7F8B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rPr>
          <w:rFonts w:hint="eastAsia" w:ascii="宋体" w:hAnsi="宋体" w:eastAsia="宋体" w:cs="宋体"/>
        </w:rPr>
        <w:t>系统的</w:t>
      </w: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护栏机制为三层递进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b/>
          <w:bCs/>
        </w:rPr>
        <w:t>L1 提示词软约束、L2 RAG 权威依据、L3 确定性硬规则</w:t>
      </w:r>
      <w:r>
        <w:rPr>
          <w:rFonts w:hint="eastAsia" w:ascii="宋体" w:hAnsi="宋体" w:eastAsia="宋体" w:cs="宋体"/>
        </w:rPr>
        <w:t>。其中 L1、L2 属于约束与证据支撑，只有 L3 具备代码级确定性并遵循故障安全（fail-safe defaults）原则</w:t>
      </w:r>
      <w:r>
        <w:rPr>
          <w:rFonts w:hint="eastAsia" w:ascii="宋体" w:hAnsi="宋体" w:cs="宋体"/>
          <w:sz w:val="24"/>
          <w:vertAlign w:val="superscript"/>
          <w:lang w:eastAsia="zh-CN"/>
        </w:rPr>
        <w:t>[10]</w:t>
      </w:r>
      <w:r>
        <w:rPr>
          <w:rFonts w:hint="eastAsia" w:ascii="宋体" w:hAnsi="宋体" w:eastAsia="宋体" w:cs="宋体"/>
        </w:rPr>
        <w:t>，整体呈“</w:t>
      </w:r>
      <w:r>
        <w:rPr>
          <w:rFonts w:hint="eastAsia" w:ascii="宋体" w:hAnsi="宋体" w:eastAsia="宋体" w:cs="宋体"/>
          <w:b/>
          <w:bCs/>
        </w:rPr>
        <w:t>逐级递进、由软到硬</w:t>
      </w:r>
      <w:r>
        <w:rPr>
          <w:rFonts w:hint="eastAsia" w:ascii="宋体" w:hAnsi="宋体" w:eastAsia="宋体" w:cs="宋体"/>
        </w:rPr>
        <w:t>”；L3 的取向与可编程护栏工具包“把安全约束写成独立于模型的规则”同源</w:t>
      </w:r>
      <w:r>
        <w:rPr>
          <w:rFonts w:hint="eastAsia" w:ascii="宋体" w:hAnsi="宋体" w:cs="宋体"/>
          <w:sz w:val="24"/>
          <w:vertAlign w:val="superscript"/>
          <w:lang w:eastAsia="zh-CN"/>
        </w:rPr>
        <w:t>[11]</w:t>
      </w:r>
      <w:r>
        <w:rPr>
          <w:rFonts w:hint="eastAsia" w:ascii="宋体" w:hAnsi="宋体" w:eastAsia="宋体" w:cs="宋体"/>
        </w:rPr>
        <w:t>，区别在于后者面向通用对话安全、不区分子用户，本文则把规则与具体家庭成员绑定。nutrition_rules 中每条禁忌规则均附带 PDF 出处；verify_answer 检测到命中违禁规则时触发生成反馈回路，默认最多重生成 3 次以防死循环，若仍不通过则降级响应并附加安全警示，不静默放行。该机制降低了对模型自觉的依赖（大模型多智能体系统的失效研究亦把“缺少独立验证环节”列为主要失败来源之一</w:t>
      </w:r>
      <w:r>
        <w:rPr>
          <w:rFonts w:hint="eastAsia" w:ascii="宋体" w:hAnsi="宋体" w:cs="宋体"/>
          <w:sz w:val="24"/>
          <w:vertAlign w:val="superscript"/>
          <w:lang w:eastAsia="zh-CN"/>
        </w:rPr>
        <w:t>[12]</w:t>
      </w:r>
      <w:r>
        <w:rPr>
          <w:rFonts w:hint="eastAsia" w:ascii="宋体" w:hAnsi="宋体" w:eastAsia="宋体" w:cs="宋体"/>
        </w:rPr>
        <w:t>），但 L1 软约束与语义层面的安全性不能完全由代码规则覆盖。</w:t>
      </w:r>
    </w:p>
    <w:p w14:paraId="4C22B64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历史压缩采用确定性要点保留与 LLM 自然语言摘要的双轨策略：压缩时按已有食材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口味忌口偏好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已推荐或已做的菜品（逐道保留顺序与关键改动）</w:t>
      </w:r>
      <w:r>
        <w:rPr>
          <w:rFonts w:hint="eastAsia" w:ascii="宋体" w:hAnsi="宋体" w:cs="宋体"/>
          <w:lang w:eastAsia="zh-CN"/>
        </w:rPr>
        <w:t>、</w:t>
      </w:r>
      <w:r>
        <w:rPr>
          <w:rFonts w:hint="eastAsia" w:ascii="宋体" w:hAnsi="宋体" w:eastAsia="宋体" w:cs="宋体"/>
        </w:rPr>
        <w:t>未完成待办」四类要点保留关键信息，LLM 生成</w:t>
      </w:r>
      <w:r>
        <w:rPr>
          <w:rFonts w:hint="eastAsia" w:ascii="宋体" w:hAnsi="宋体" w:cs="宋体"/>
          <w:lang w:eastAsia="zh-CN"/>
        </w:rPr>
        <w:t>200</w:t>
      </w:r>
      <w:r>
        <w:rPr>
          <w:rFonts w:hint="eastAsia" w:ascii="宋体" w:hAnsi="宋体" w:eastAsia="宋体" w:cs="宋体"/>
        </w:rPr>
        <w:t>字以内摘要，二者合并做二次压缩；同时清理孤儿工具消息，避免tool_call_id不配对导致请求失败。系统采用「全量历史 + 摘要压缩」双轨记忆：LangGraph checkpointer 按会话持久化完整消息历史，超阈值后压缩为上述要点摘要并真删旧消息；在此之上维护结构化的家庭健康档案与候选约束记忆，使记忆携带健康约束语义并直接参与 L3 护栏判定（在上下文管理</w:t>
      </w:r>
      <w:r>
        <w:rPr>
          <w:rFonts w:hint="eastAsia" w:ascii="宋体" w:hAnsi="宋体" w:cs="宋体"/>
          <w:sz w:val="24"/>
          <w:vertAlign w:val="superscript"/>
          <w:lang w:eastAsia="zh-CN"/>
        </w:rPr>
        <w:t>[13]</w:t>
      </w:r>
      <w:r>
        <w:rPr>
          <w:rFonts w:hint="eastAsia" w:ascii="宋体" w:hAnsi="宋体" w:eastAsia="宋体" w:cs="宋体"/>
        </w:rPr>
        <w:t>与记忆流机制</w:t>
      </w:r>
      <w:r>
        <w:rPr>
          <w:rFonts w:hint="eastAsia" w:ascii="宋体" w:hAnsi="宋体" w:cs="宋体"/>
          <w:sz w:val="24"/>
          <w:vertAlign w:val="superscript"/>
          <w:lang w:eastAsia="zh-CN"/>
        </w:rPr>
        <w:t>[14]</w:t>
      </w:r>
      <w:r>
        <w:rPr>
          <w:rFonts w:hint="eastAsia" w:ascii="宋体" w:hAnsi="宋体" w:eastAsia="宋体" w:cs="宋体"/>
        </w:rPr>
        <w:t>基础上扩展，区别正在于护栏参与）。系统通过自适应追问澄清表达含糊，同时以结构化压缩与跨轮持久化保住约束上下文，据此调整检索策略与护栏规则。</w:t>
      </w:r>
    </w:p>
    <w:p w14:paraId="78E4CA6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rPr>
          <w:rFonts w:hint="eastAsia" w:ascii="宋体" w:hAnsi="宋体" w:eastAsia="宋体" w:cs="宋体"/>
        </w:rPr>
        <w:t>在全链路透明与可追溯方面，AI 生成图片强制标注“AI 生成示意图”（对应生成合成内容标识相关要求</w:t>
      </w:r>
      <w:r>
        <w:rPr>
          <w:rFonts w:hint="eastAsia" w:ascii="宋体" w:hAnsi="宋体" w:cs="宋体"/>
          <w:sz w:val="24"/>
          <w:vertAlign w:val="superscript"/>
          <w:lang w:eastAsia="zh-CN"/>
        </w:rPr>
        <w:t>[15][16][17]</w:t>
      </w:r>
      <w:r>
        <w:rPr>
          <w:rFonts w:hint="eastAsia" w:ascii="宋体" w:hAnsi="宋体" w:eastAsia="宋体" w:cs="宋体"/>
        </w:rPr>
        <w:t>），健康建议强制附带出处文件名及原文位置，使</w:t>
      </w:r>
      <w:r>
        <w:rPr>
          <w:rFonts w:hint="eastAsia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建议可溯源</w:t>
      </w:r>
      <w:r>
        <w:rPr>
          <w:rFonts w:hint="eastAsia" w:ascii="宋体" w:hAnsi="宋体" w:eastAsia="宋体" w:cs="宋体"/>
        </w:rPr>
        <w:t>；这一设计的依据是生成式模型存在系统性幻觉风险、溯源标注是主要缓解手段之一</w:t>
      </w:r>
      <w:r>
        <w:rPr>
          <w:rFonts w:hint="eastAsia" w:ascii="宋体" w:hAnsi="宋体" w:cs="宋体"/>
          <w:sz w:val="24"/>
          <w:vertAlign w:val="superscript"/>
          <w:lang w:eastAsia="zh-CN"/>
        </w:rPr>
        <w:t>[18]</w:t>
      </w:r>
      <w:r>
        <w:rPr>
          <w:rFonts w:hint="eastAsia" w:ascii="宋体" w:hAnsi="宋体" w:eastAsia="宋体" w:cs="宋体"/>
        </w:rPr>
        <w:t>，但它只降低、而非消除 AI 虚假权威性风险。可观测性覆盖决策路径日志、工具调用链路、护栏触发记录与压缩效率统计。</w:t>
      </w:r>
    </w:p>
    <w:p w14:paraId="516D5462">
      <w:r>
        <w:rPr>
          <w:rFonts w:hint="eastAsia" w:ascii="宋体" w:hAnsi="宋体" w:eastAsia="宋体"/>
          <w:b/>
          <w:sz w:val="24"/>
        </w:rPr>
        <w:t>2. 系统架构设计</w:t>
      </w:r>
    </w:p>
    <w:p w14:paraId="626D13F9">
      <w:pPr>
        <w:spacing w:after="120" w:line="240" w:lineRule="auto"/>
      </w:pPr>
      <w:r>
        <w:rPr>
          <w:rFonts w:hint="eastAsia" w:ascii="宋体" w:hAnsi="宋体" w:eastAsia="宋体" w:cs="Times New Roman"/>
          <w:b w:val="0"/>
          <w:sz w:val="24"/>
          <w:szCs w:val="24"/>
          <w:lang w:val="en-US" w:eastAsia="zh-CN"/>
        </w:rPr>
        <w:t>系统采用</w:t>
      </w:r>
      <w:r>
        <w:rPr>
          <w:rFonts w:hint="eastAsia" w:ascii="宋体" w:hAnsi="宋体" w:eastAsia="宋体" w:cs="Times New Roman"/>
          <w:b/>
          <w:bCs/>
          <w:sz w:val="24"/>
          <w:szCs w:val="24"/>
          <w:lang w:val="en-US" w:eastAsia="zh-CN"/>
        </w:rPr>
        <w:t>“应用层—算法层—数据层”三层解耦架构</w:t>
      </w:r>
      <w:r>
        <w:rPr>
          <w:rFonts w:hint="eastAsia" w:ascii="宋体" w:hAnsi="宋体" w:eastAsia="宋体" w:cs="Times New Roman"/>
          <w:b w:val="0"/>
          <w:sz w:val="24"/>
          <w:szCs w:val="24"/>
          <w:lang w:val="en-US" w:eastAsia="zh-CN"/>
        </w:rPr>
        <w:t>，确保可扩展性与稳定性：</w:t>
      </w:r>
    </w:p>
    <w:p w14:paraId="77C20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b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r>
      <w:r>
        <w:rPr>
          <w:rFonts w:hint="eastAsia" w:ascii="黑体" w:hAnsi="黑体" w:eastAsia="黑体" w:cs="黑体"/>
          <w:b w:val="0"/>
          <w:sz w:val="18"/>
          <w:szCs w:val="18"/>
        </w:rPr>
        <w:t xml:space="preserve">图 </w:t>
      </w: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4</w:t>
      </w:r>
      <w:r>
        <w:rPr>
          <w:rFonts w:hint="eastAsia" w:ascii="黑体" w:hAnsi="黑体" w:eastAsia="黑体" w:cs="黑体"/>
          <w:b w:val="0"/>
          <w:sz w:val="18"/>
          <w:szCs w:val="18"/>
        </w:rPr>
        <w:t xml:space="preserve">  系统架构图</w:t>
      </w:r>
    </w:p>
    <w:p w14:paraId="31DED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leftChars="0" w:hanging="480" w:hanging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（1）数据层：权威护栏 RAG（Chroma，1435 chunk + 页码锚定）、营养底表 CSV（288 条记录：china_food_components.csv 258 条 + nutrition_table.csv 30 条）、用户健康画像档案、会话与运行数据。</w:t>
      </w:r>
    </w:p>
    <w:p w14:paraId="2BA2F1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（2）算法层：LangGraph 决策中枢（13 节点、5 条件边、8 普通边）、工具编排（7 个 LLM 工具，另保留 2 个外部接口）、硬护栏（横切安全控制，含一菜多人的成员矩阵判定）、记忆与自适应追问。</w:t>
      </w:r>
      <w:r>
        <w:rPr>
          <w:rFonts w:hint="eastAsia" w:ascii="宋体" w:hAnsi="宋体" w:cs="宋体"/>
          <w:b w:val="0"/>
          <w:sz w:val="24"/>
          <w:lang w:eastAsia="zh-CN"/>
        </w:rPr>
      </w:r>
      <w:r>
        <w:rPr>
          <w:rFonts w:hint="eastAsia" w:ascii="宋体" w:hAnsi="宋体" w:eastAsia="宋体" w:cs="宋体"/>
          <w:b w:val="0"/>
          <w:sz w:val="24"/>
          <w:lang w:eastAsia="zh-CN"/>
        </w:rPr>
      </w:r>
      <w:r>
        <w:rPr>
          <w:rFonts w:hint="eastAsia" w:ascii="宋体" w:hAnsi="宋体" w:cs="宋体"/>
          <w:b w:val="0"/>
          <w:sz w:val="24"/>
          <w:lang w:eastAsia="zh-CN"/>
        </w:rPr>
      </w:r>
      <w:r>
        <w:rPr>
          <w:rFonts w:hint="eastAsia" w:ascii="宋体" w:hAnsi="宋体" w:eastAsia="宋体" w:cs="宋体"/>
          <w:b w:val="0"/>
          <w:sz w:val="24"/>
          <w:lang w:eastAsia="zh-CN"/>
        </w:rPr>
      </w:r>
    </w:p>
    <w:p w14:paraId="09DF1C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sz w:val="24"/>
          <w:lang w:eastAsia="zh-CN"/>
        </w:rPr>
        <w:t>（3）应用层：页面交互、拍照识别、定位导航、文字</w:t>
      </w:r>
      <w:r>
        <w:rPr>
          <w:rFonts w:hint="eastAsia" w:ascii="宋体" w:hAnsi="宋体" w:cs="宋体"/>
          <w:b w:val="0"/>
          <w:sz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sz w:val="24"/>
          <w:lang w:eastAsia="zh-CN"/>
        </w:rPr>
        <w:t>语音入口，统一经 API 收口到同一决策中枢。</w:t>
      </w:r>
    </w:p>
    <w:p w14:paraId="2BB07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</w:p>
    <w:p w14:paraId="1E4D9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</w:p>
    <w:p w14:paraId="527A4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</w:p>
    <w:p w14:paraId="2ACD1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</w:p>
    <w:p w14:paraId="1AF5E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</w:p>
    <w:p w14:paraId="6DD5A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</w:p>
    <w:p w14:paraId="17FAE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表 3  系统模块与实现方式</w:t>
      </w:r>
    </w:p>
    <w:tbl>
      <w:tblPr>
        <w:tblStyle w:val="15"/>
        <w:tblW w:w="0" w:type="auto"/>
        <w:tblInd w:w="0" w:type="dxa"/>
        <w:tblBorders>
          <w:top w:val="single" w:color="auto" w:sz="12" w:space="0"/>
          <w:left w:val="single" w:color="auto" w:sz="4" w:space="0"/>
          <w:bottom w:val="single" w:color="auto" w:sz="12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2331"/>
        <w:gridCol w:w="2436"/>
        <w:gridCol w:w="1961"/>
      </w:tblGrid>
      <w:tr w14:paraId="181DD420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 w:val="0"/>
            <w:vAlign w:val="center"/>
          </w:tcPr>
          <w:p w14:paraId="31980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23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center"/>
          </w:tcPr>
          <w:p w14:paraId="287D3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功能</w:t>
            </w:r>
          </w:p>
        </w:tc>
        <w:tc>
          <w:tcPr>
            <w:tcW w:w="24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center"/>
          </w:tcPr>
          <w:p w14:paraId="252C3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实现方式</w:t>
            </w:r>
          </w:p>
        </w:tc>
        <w:tc>
          <w:tcPr>
            <w:tcW w:w="19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center"/>
          </w:tcPr>
          <w:p w14:paraId="1609C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协同</w:t>
            </w:r>
          </w:p>
        </w:tc>
      </w:tr>
      <w:tr w14:paraId="3109FBDC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2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C884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知识库构建</w:t>
            </w:r>
          </w:p>
        </w:tc>
        <w:tc>
          <w:tcPr>
            <w:tcW w:w="23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76370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权威 PDF→可检索向量</w:t>
            </w:r>
          </w:p>
        </w:tc>
        <w:tc>
          <w:tcPr>
            <w:tcW w:w="24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28F10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parser_router 路由 + ingest 切片 + 页码锚定 + Chroma</w:t>
            </w:r>
          </w:p>
        </w:tc>
        <w:tc>
          <w:tcPr>
            <w:tcW w:w="19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A623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喂入 RAG 工具</w:t>
            </w:r>
          </w:p>
        </w:tc>
      </w:tr>
      <w:tr w14:paraId="2BADFF73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0A032A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决策中枢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277FA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多轮思考+工具编排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4E542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LangGraph 状态图 + 循环边 + checkpointer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450FB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调用全部工具</w:t>
            </w:r>
          </w:p>
        </w:tc>
      </w:tr>
      <w:tr w14:paraId="013F23BD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7053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工具集(8)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21E27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RAG 检索、联网搜索、附近餐厅、冰箱缺口、健康化改造、文件、库存、周报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0D53E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@tool 装饰器 + 文件沙箱白名单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531EB8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被中枢调用</w:t>
            </w:r>
          </w:p>
        </w:tc>
      </w:tr>
      <w:tr w14:paraId="5BBFA90F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49A9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硬护栏</w:t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3427F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违禁拦截+重生成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726DB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nutrition_rules 规则 + verify_answer 节点</w:t>
            </w:r>
          </w:p>
        </w:tc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49C0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阻断不合规输出</w:t>
            </w:r>
          </w:p>
        </w:tc>
      </w:tr>
      <w:tr w14:paraId="50412DF3">
        <w:tblPrEx>
          <w:tblBorders>
            <w:top w:val="single" w:color="auto" w:sz="12" w:space="0"/>
            <w:left w:val="single" w:color="auto" w:sz="4" w:space="0"/>
            <w:bottom w:val="single" w:color="auto" w:sz="12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2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vAlign w:val="center"/>
          </w:tcPr>
          <w:p w14:paraId="1B163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记忆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追问</w:t>
            </w:r>
          </w:p>
        </w:tc>
        <w:tc>
          <w:tcPr>
            <w:tcW w:w="23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vAlign w:val="center"/>
          </w:tcPr>
          <w:p w14:paraId="025FD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跨轮画像+澄清</w:t>
            </w:r>
          </w:p>
        </w:tc>
        <w:tc>
          <w:tcPr>
            <w:tcW w:w="24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vAlign w:val="center"/>
          </w:tcPr>
          <w:p w14:paraId="186C7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全量历史 + 摘要压缩 + 跨轮持久化</w:t>
            </w:r>
          </w:p>
        </w:tc>
        <w:tc>
          <w:tcPr>
            <w:tcW w:w="19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vAlign w:val="center"/>
          </w:tcPr>
          <w:p w14:paraId="12BA1E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提升决策个性化</w:t>
            </w:r>
          </w:p>
        </w:tc>
      </w:tr>
    </w:tbl>
    <w:p w14:paraId="599367A3">
      <w:pPr>
        <w:spacing w:after="120"/>
        <w:ind w:left="0" w:leftChars="0" w:firstLine="0" w:firstLineChars="0"/>
      </w:pPr>
      <w:r>
        <w:rPr>
          <w:rFonts w:hint="eastAsia" w:ascii="宋体" w:hAnsi="宋体" w:eastAsia="宋体"/>
          <w:b/>
          <w:sz w:val="24"/>
        </w:rPr>
        <w:t>3. 功能模块设计</w:t>
      </w:r>
    </w:p>
    <w:p w14:paraId="064D9207">
      <w:pPr>
        <w:spacing w:line="240" w:lineRule="auto"/>
      </w:pPr>
      <w:r>
        <w:rPr>
          <w:rFonts w:hint="eastAsia" w:ascii="宋体" w:hAnsi="宋体"/>
          <w:sz w:val="24"/>
        </w:rPr>
        <w:t>模型选择遵循三级兜底：</w:t>
      </w:r>
      <w:r>
        <w:rPr>
          <w:rFonts w:hint="eastAsia" w:ascii="宋体" w:hAnsi="宋体"/>
          <w:b/>
          <w:bCs/>
          <w:sz w:val="24"/>
        </w:rPr>
        <w:t>显式参数</w:t>
      </w:r>
      <w:r>
        <w:rPr>
          <w:rFonts w:hint="eastAsia" w:ascii="宋体" w:hAnsi="宋体"/>
          <w:b/>
          <w:bCs/>
          <w:sz w:val="24"/>
          <w:lang w:val="en-US" w:eastAsia="zh-CN"/>
        </w:rPr>
        <w:t>&gt;</w:t>
      </w:r>
      <w:r>
        <w:rPr>
          <w:rFonts w:hint="eastAsia" w:ascii="宋体" w:hAnsi="宋体"/>
          <w:b/>
          <w:bCs/>
          <w:sz w:val="24"/>
        </w:rPr>
        <w:t>环境变量</w:t>
      </w:r>
      <w:r>
        <w:rPr>
          <w:rFonts w:hint="eastAsia" w:ascii="宋体" w:hAnsi="宋体"/>
          <w:b/>
          <w:bCs/>
          <w:sz w:val="24"/>
          <w:lang w:val="en-US" w:eastAsia="zh-CN"/>
        </w:rPr>
        <w:t>&gt;</w:t>
      </w:r>
      <w:r>
        <w:rPr>
          <w:rFonts w:hint="eastAsia" w:ascii="宋体" w:hAnsi="宋体"/>
          <w:b/>
          <w:bCs/>
          <w:sz w:val="24"/>
        </w:rPr>
        <w:t>配置默认</w:t>
      </w:r>
      <w:r>
        <w:rPr>
          <w:rFonts w:hint="eastAsia" w:ascii="宋体" w:hAnsi="宋体"/>
          <w:sz w:val="24"/>
        </w:rPr>
        <w:t>。主脑、视觉、摘要三类模型可分别指定，便于按成本与能力路由。显式状态机优于黑盒 ReAct（与主流 Agent 框架“编排优先”的取向一致</w:t>
      </w:r>
      <w:r>
        <w:rPr>
          <w:rFonts w:hint="eastAsia" w:ascii="宋体" w:hAnsi="宋体"/>
          <w:sz w:val="24"/>
          <w:vertAlign w:val="superscript"/>
          <w:lang w:eastAsia="zh-CN"/>
        </w:rPr>
        <w:t>[19]</w:t>
      </w:r>
      <w:r>
        <w:rPr>
          <w:rFonts w:hint="eastAsia" w:ascii="宋体" w:hAnsi="宋体"/>
          <w:sz w:val="24"/>
        </w:rPr>
        <w:t>）：每个环节</w:t>
      </w:r>
      <w:r>
        <w:rPr>
          <w:rFonts w:hint="eastAsia" w:ascii="宋体" w:hAnsi="宋体"/>
          <w:b/>
          <w:bCs/>
          <w:sz w:val="24"/>
        </w:rPr>
        <w:t>可观测、可中断、可持久化</w:t>
      </w:r>
      <w:r>
        <w:rPr>
          <w:rFonts w:hint="eastAsia" w:ascii="宋体" w:hAnsi="宋体"/>
          <w:sz w:val="24"/>
        </w:rPr>
        <w:t>，模型跑偏时能在既定分支内被拉回。失败不静默：LLM 偶发超时带退避重试；图片生成多级回退；外部 POI 接口失败或超配额时自动降级到本地数据集，并明确标注为离线演示数据。上传统一校验：所有上传入口走同一校验模块（标准库 + 魔数嗅探，不信任 content-type），四路同源。</w:t>
      </w:r>
    </w:p>
    <w:p w14:paraId="10059B03">
      <w:pPr>
        <w:spacing w:line="240" w:lineRule="auto"/>
      </w:pPr>
      <w:r>
        <w:rPr>
          <w:rFonts w:hint="eastAsia" w:ascii="宋体" w:hAnsi="宋体"/>
          <w:sz w:val="24"/>
        </w:rPr>
        <w:t>将"推荐"与"详情"拆成两跳，每一跳都由</w:t>
      </w:r>
      <w:r>
        <w:rPr>
          <w:rFonts w:hint="eastAsia" w:ascii="宋体" w:hAnsi="宋体"/>
          <w:b/>
          <w:bCs/>
          <w:sz w:val="24"/>
        </w:rPr>
        <w:t>确定性纯函数判定</w:t>
      </w:r>
      <w:r>
        <w:rPr>
          <w:rFonts w:hint="eastAsia" w:ascii="宋体" w:hAnsi="宋体"/>
          <w:sz w:val="24"/>
        </w:rPr>
        <w:t>，避免模型自由发挥。一跳（候选清单）：泛意图只出编号候选，不出卡片、不配图；二跳（单卡片）：用户选定后，才出单卡片 + 卡内完整做法 + 配图。同一语义只保留一个判定函数，被所有层同源引用，确保意图判定、序号解析、候选锚点回溯、内部消息过滤、配图判定的一致性。</w:t>
      </w:r>
    </w:p>
    <w:p w14:paraId="1BBB3B5E">
      <w:pPr>
        <w:keepNext/>
        <w:spacing w:after="60"/>
        <w:jc w:val="center"/>
      </w:pPr>
      <w:r/>
    </w:p>
    <w:p w14:paraId="1FD7CE90">
      <w:pPr>
        <w:spacing w:after="120"/>
        <w:jc w:val="center"/>
        <w:rPr>
          <w:rFonts w:hint="eastAsia" w:ascii="黑体" w:hAnsi="黑体" w:eastAsia="黑体" w:cs="黑体"/>
          <w:b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sz w:val="18"/>
          <w:szCs w:val="18"/>
        </w:rPr>
        <w:t>图</w:t>
      </w: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5</w:t>
      </w:r>
      <w:r>
        <w:rPr>
          <w:rFonts w:hint="eastAsia" w:ascii="黑体" w:hAnsi="黑体" w:eastAsia="黑体" w:cs="黑体"/>
          <w:b w:val="0"/>
          <w:sz w:val="18"/>
          <w:szCs w:val="18"/>
        </w:rPr>
        <w:t>两阶段推荐交互流程</w:t>
      </w:r>
    </w:p>
    <w:p w14:paraId="6B58081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黑体" w:hAnsi="黑体" w:eastAsia="黑体" w:cs="黑体"/>
          <w:lang w:eastAsia="zh-CN"/>
        </w:rPr>
      </w:pPr>
      <w:bookmarkStart w:id="16" w:name="_Toc18992"/>
      <w:bookmarkStart w:id="17" w:name="_Toc26937"/>
      <w:r>
        <w:rPr>
          <w:rFonts w:hint="eastAsia" w:ascii="黑体" w:hAnsi="黑体" w:eastAsia="黑体" w:cs="黑体"/>
          <w:lang w:eastAsia="zh-CN"/>
        </w:rPr>
        <w:t>（三）项目实施</w:t>
      </w:r>
      <w:bookmarkEnd w:id="16"/>
      <w:bookmarkEnd w:id="17"/>
    </w:p>
    <w:p w14:paraId="757DD1D1">
      <w:pPr>
        <w:spacing w:line="240" w:lineRule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1. 实施计划</w:t>
      </w:r>
    </w:p>
    <w:p w14:paraId="407E9965">
      <w:pPr>
        <w:spacing w:after="120"/>
        <w:ind w:left="0" w:leftChars="0" w:firstLine="0" w:firstLineChars="0"/>
        <w:jc w:val="center"/>
        <w:rPr>
          <w:rFonts w:hint="default" w:ascii="黑体" w:hAnsi="黑体" w:eastAsia="黑体" w:cs="黑体"/>
          <w:b w:val="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表4计划实施安排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6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126"/>
        <w:gridCol w:w="2126"/>
        <w:gridCol w:w="2126"/>
      </w:tblGrid>
      <w:tr w14:paraId="0127EB10">
        <w:tblPrEx>
          <w:tblBorders>
            <w:top w:val="single" w:color="auto" w:sz="4" w:space="0"/>
            <w:left w:val="single" w:color="auto" w:sz="6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5811A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阶段</w:t>
            </w:r>
          </w:p>
        </w:tc>
        <w:tc>
          <w:tcPr>
            <w:tcW w:w="212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79E9D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任务</w:t>
            </w:r>
          </w:p>
        </w:tc>
        <w:tc>
          <w:tcPr>
            <w:tcW w:w="212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5648B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周期</w:t>
            </w:r>
          </w:p>
        </w:tc>
        <w:tc>
          <w:tcPr>
            <w:tcW w:w="212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noWrap w:val="0"/>
            <w:vAlign w:val="top"/>
          </w:tcPr>
          <w:p w14:paraId="43F1D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依赖</w:t>
            </w:r>
          </w:p>
        </w:tc>
      </w:tr>
      <w:tr w14:paraId="0ED64427">
        <w:tblPrEx>
          <w:tblBorders>
            <w:top w:val="single" w:color="auto" w:sz="4" w:space="0"/>
            <w:left w:val="single" w:color="auto" w:sz="6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6" w:space="0"/>
              <w:left w:val="nil"/>
              <w:bottom w:val="nil"/>
              <w:right w:val="nil"/>
            </w:tcBorders>
            <w:noWrap w:val="0"/>
            <w:vAlign w:val="top"/>
          </w:tcPr>
          <w:p w14:paraId="418A0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26" w:type="dxa"/>
            <w:tcBorders>
              <w:top w:val="single" w:color="auto" w:sz="6" w:space="0"/>
              <w:left w:val="nil"/>
              <w:bottom w:val="nil"/>
              <w:right w:val="nil"/>
            </w:tcBorders>
            <w:noWrap w:val="0"/>
            <w:vAlign w:val="top"/>
          </w:tcPr>
          <w:p w14:paraId="7FACC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品牌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文案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UI 全量替换为「小膳管家」</w:t>
            </w:r>
          </w:p>
        </w:tc>
        <w:tc>
          <w:tcPr>
            <w:tcW w:w="2126" w:type="dxa"/>
            <w:tcBorders>
              <w:top w:val="single" w:color="auto" w:sz="6" w:space="0"/>
              <w:left w:val="nil"/>
              <w:bottom w:val="nil"/>
              <w:right w:val="nil"/>
            </w:tcBorders>
            <w:noWrap w:val="0"/>
            <w:vAlign w:val="top"/>
          </w:tcPr>
          <w:p w14:paraId="70B94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第1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-2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周</w:t>
            </w:r>
          </w:p>
        </w:tc>
        <w:tc>
          <w:tcPr>
            <w:tcW w:w="2126" w:type="dxa"/>
            <w:tcBorders>
              <w:top w:val="single" w:color="auto" w:sz="6" w:space="0"/>
              <w:left w:val="nil"/>
              <w:bottom w:val="nil"/>
              <w:right w:val="nil"/>
            </w:tcBorders>
            <w:noWrap w:val="0"/>
            <w:vAlign w:val="top"/>
          </w:tcPr>
          <w:p w14:paraId="6812F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—</w:t>
            </w:r>
          </w:p>
        </w:tc>
      </w:tr>
      <w:tr w14:paraId="074B2A33">
        <w:tblPrEx>
          <w:tblBorders>
            <w:top w:val="single" w:color="auto" w:sz="4" w:space="0"/>
            <w:left w:val="single" w:color="auto" w:sz="6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CE16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4603F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nearby_food 营业状态过滤与排序优化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3A5E8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第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3-5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周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8A0D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—（高德已接入）</w:t>
            </w:r>
          </w:p>
        </w:tc>
      </w:tr>
      <w:tr w14:paraId="4B754782">
        <w:tblPrEx>
          <w:tblBorders>
            <w:top w:val="single" w:color="auto" w:sz="4" w:space="0"/>
            <w:left w:val="single" w:color="auto" w:sz="6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8D39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3FFD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拍照识别降级方案（手动勾选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文字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小票）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631C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第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周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C43E3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—</w:t>
            </w:r>
          </w:p>
        </w:tc>
      </w:tr>
      <w:tr w14:paraId="1EC493A2">
        <w:tblPrEx>
          <w:tblBorders>
            <w:top w:val="single" w:color="auto" w:sz="4" w:space="0"/>
            <w:left w:val="single" w:color="auto" w:sz="6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8AD7C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450E0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RAG 外延：忌口问答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带量食谱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辟谣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4FF18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第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6-7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周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4370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指南已入库</w:t>
            </w:r>
          </w:p>
        </w:tc>
      </w:tr>
      <w:tr w14:paraId="1606897C">
        <w:tblPrEx>
          <w:tblBorders>
            <w:top w:val="single" w:color="auto" w:sz="4" w:space="0"/>
            <w:left w:val="single" w:color="auto" w:sz="6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EC24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C85AE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菜系级护栏 playbook（火锅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烧烤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奶茶红线）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4FD6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第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周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022FA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从指南派生</w:t>
            </w:r>
          </w:p>
        </w:tc>
      </w:tr>
      <w:tr w14:paraId="6641F3D7">
        <w:tblPrEx>
          <w:tblBorders>
            <w:top w:val="single" w:color="auto" w:sz="4" w:space="0"/>
            <w:left w:val="single" w:color="auto" w:sz="6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55F4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0665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家庭小范围试点，回收完成率与满意度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0B87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第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8-9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周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DE06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—</w:t>
            </w:r>
          </w:p>
        </w:tc>
      </w:tr>
      <w:tr w14:paraId="44FF1919">
        <w:tblPrEx>
          <w:tblBorders>
            <w:top w:val="single" w:color="auto" w:sz="4" w:space="0"/>
            <w:left w:val="single" w:color="auto" w:sz="6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1E454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77D38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录演示视频、整理验证数据、写合规说明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vAlign w:val="top"/>
          </w:tcPr>
          <w:p w14:paraId="05347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第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周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12" w:space="0"/>
            </w:tcBorders>
            <w:noWrap w:val="0"/>
            <w:vAlign w:val="top"/>
          </w:tcPr>
          <w:p w14:paraId="6A01F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—</w:t>
            </w:r>
          </w:p>
        </w:tc>
      </w:tr>
    </w:tbl>
    <w:p w14:paraId="48F40C41">
      <w:pPr>
        <w:spacing w:line="240" w:lineRule="auto"/>
        <w:ind w:left="0" w:leftChars="0" w:firstLine="0" w:firstLineChars="0"/>
      </w:pPr>
      <w:r>
        <w:rPr>
          <w:rFonts w:hint="eastAsia" w:ascii="宋体" w:hAnsi="宋体" w:eastAsia="宋体"/>
          <w:b/>
          <w:sz w:val="24"/>
        </w:rPr>
        <w:t>2. 技术实现</w:t>
      </w:r>
    </w:p>
    <w:p w14:paraId="1788220E">
      <w:pPr>
        <w:spacing w:line="240" w:lineRule="auto"/>
        <w:rPr>
          <w:rFonts w:hint="eastAsia" w:ascii="宋体" w:hAnsi="宋体"/>
          <w:b w:val="0"/>
          <w:bCs w:val="0"/>
          <w:sz w:val="24"/>
        </w:rPr>
      </w:pPr>
      <w:r>
        <w:rPr>
          <w:rFonts w:hint="eastAsia" w:ascii="宋体" w:hAnsi="宋体"/>
          <w:b w:val="0"/>
          <w:bCs w:val="0"/>
          <w:sz w:val="24"/>
        </w:rPr>
        <w:t>关键技术实现细节（已落地，可复现）：</w:t>
      </w:r>
    </w:p>
    <w:p w14:paraId="2626F8D0">
      <w:pPr>
        <w:spacing w:line="240" w:lineRule="auto"/>
        <w:rPr>
          <w:rFonts w:hint="eastAsia" w:ascii="宋体" w:hAnsi="宋体"/>
          <w:b w:val="0"/>
          <w:bCs w:val="0"/>
          <w:sz w:val="24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(1)</w:t>
      </w:r>
      <w:r>
        <w:rPr>
          <w:rFonts w:hint="eastAsia" w:ascii="宋体" w:hAnsi="宋体"/>
          <w:b w:val="0"/>
          <w:bCs w:val="0"/>
          <w:sz w:val="24"/>
        </w:rPr>
        <w:t>PDF 解析路由采用四维加权评分制：扫描件识别度、页数、图文密度、表格密度。当综合评分≥2.0 时调用云端 OCR 解析器，否则使用本地免费解析器。</w:t>
      </w:r>
    </w:p>
    <w:p w14:paraId="33117E78">
      <w:pPr>
        <w:spacing w:line="240" w:lineRule="auto"/>
        <w:ind w:left="0" w:leftChars="0" w:firstLine="0" w:firstLineChars="0"/>
        <w:rPr>
          <w:rFonts w:hint="eastAsia" w:ascii="宋体" w:hAnsi="宋体"/>
          <w:b w:val="0"/>
          <w:bCs w:val="0"/>
          <w:sz w:val="24"/>
        </w:rPr>
      </w:pPr>
      <w:r>
        <w:rPr>
          <w:rFonts w:hint="eastAsia" w:ascii="宋体" w:hAnsi="宋体"/>
          <w:b w:val="0"/>
          <w:bCs w:val="0"/>
          <w:sz w:val="24"/>
        </w:rPr>
        <w:t>纯结构属性判定无需 LLM，既降低成本又保证可解释性。</w:t>
      </w:r>
    </w:p>
    <w:p w14:paraId="2DFF9AD6">
      <w:pPr>
        <w:spacing w:line="240" w:lineRule="auto"/>
        <w:ind w:left="0" w:leftChars="0" w:firstLine="0" w:firstLineChars="0"/>
        <w:rPr>
          <w:rFonts w:hint="eastAsia" w:ascii="宋体" w:hAnsi="宋体"/>
          <w:b w:val="0"/>
          <w:bCs w:val="0"/>
          <w:sz w:val="24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(2)</w:t>
      </w:r>
      <w:r>
        <w:rPr>
          <w:rFonts w:hint="eastAsia" w:ascii="宋体" w:hAnsi="宋体"/>
          <w:b w:val="0"/>
          <w:bCs w:val="0"/>
          <w:sz w:val="24"/>
        </w:rPr>
        <w:t>离线索引：</w:t>
      </w:r>
      <w:r>
        <w:rPr>
          <w:rFonts w:hint="eastAsia" w:ascii="宋体" w:hAnsi="宋体"/>
          <w:b w:val="0"/>
          <w:bCs w:val="0"/>
          <w:sz w:val="24"/>
          <w:lang w:val="en-US" w:eastAsia="zh-CN"/>
        </w:rPr>
        <w:t xml:space="preserve">Markdown </w:t>
      </w:r>
      <w:r>
        <w:rPr>
          <w:rFonts w:hint="eastAsia" w:ascii="宋体" w:hAnsi="宋体"/>
          <w:b w:val="0"/>
          <w:bCs w:val="0"/>
          <w:sz w:val="24"/>
        </w:rPr>
        <w:t>按标题切片、PDF 按段落递归切片；</w:t>
      </w:r>
      <w:r>
        <w:rPr>
          <w:rFonts w:hint="eastAsia" w:ascii="宋体" w:hAnsi="宋体"/>
          <w:b w:val="0"/>
          <w:bCs w:val="0"/>
          <w:sz w:val="24"/>
          <w:lang w:val="en-US" w:eastAsia="zh-CN"/>
        </w:rPr>
        <w:t>采用确定性页码锚定前缀实现切片上下文注入，为每个 chunk 追加其在全文中的位置信息，零 LLM 成本、完全可复现，召回精度提升实测</w:t>
      </w:r>
      <w:r>
        <w:rPr>
          <w:rFonts w:hint="eastAsia" w:ascii="宋体" w:hAnsi="宋体"/>
          <w:b w:val="0"/>
          <w:bCs w:val="0"/>
          <w:sz w:val="24"/>
        </w:rPr>
        <w:t>（见验证章）。另已实现基于 LLM 逐切片生成上下文前缀的能力（思路同 Anthropic 2024 提出的 Contextual Retrieval），可由建库脚本 --contextual 开关启用；当前索引为控制建库成本未启用该前缀。</w:t>
      </w:r>
    </w:p>
    <w:p w14:paraId="74D0B6C9">
      <w:pPr>
        <w:spacing w:line="240" w:lineRule="auto"/>
        <w:rPr>
          <w:rFonts w:hint="eastAsia" w:ascii="宋体" w:hAnsi="宋体"/>
          <w:b w:val="0"/>
          <w:bCs w:val="0"/>
          <w:sz w:val="24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(3)</w:t>
      </w:r>
      <w:r>
        <w:rPr>
          <w:rFonts w:hint="eastAsia" w:ascii="宋体" w:hAnsi="宋体"/>
          <w:b w:val="0"/>
          <w:bCs w:val="0"/>
          <w:sz w:val="24"/>
        </w:rPr>
        <w:t xml:space="preserve">循环 Agent：run_tools 执行后回流 chef_think 再次思考；长对话用 </w:t>
      </w:r>
      <w:r>
        <w:rPr>
          <w:rFonts w:hint="eastAsia" w:ascii="宋体" w:hAnsi="宋体"/>
          <w:b w:val="0"/>
          <w:bCs w:val="0"/>
          <w:sz w:val="24"/>
          <w:lang w:val="en-US" w:eastAsia="zh-CN"/>
        </w:rPr>
        <w:t>RemoveMessage</w:t>
      </w:r>
      <w:r>
        <w:rPr>
          <w:rFonts w:hint="eastAsia" w:ascii="宋体" w:hAnsi="宋体"/>
          <w:b w:val="0"/>
          <w:bCs w:val="0"/>
          <w:sz w:val="24"/>
        </w:rPr>
        <w:t xml:space="preserve"> 真实删旧消息，并成对清理孤儿</w:t>
      </w:r>
      <w:r>
        <w:rPr>
          <w:rFonts w:hint="eastAsia" w:ascii="宋体" w:hAnsi="宋体"/>
          <w:b w:val="0"/>
          <w:bCs w:val="0"/>
          <w:sz w:val="24"/>
          <w:lang w:val="en-US" w:eastAsia="zh-CN"/>
        </w:rPr>
        <w:t xml:space="preserve"> ToolMessage</w:t>
      </w:r>
      <w:r>
        <w:rPr>
          <w:rFonts w:hint="eastAsia" w:ascii="宋体" w:hAnsi="宋体"/>
          <w:b w:val="0"/>
          <w:bCs w:val="0"/>
          <w:sz w:val="24"/>
        </w:rPr>
        <w:t xml:space="preserve"> 防 400 错误；</w:t>
      </w:r>
      <w:r>
        <w:rPr>
          <w:rFonts w:hint="eastAsia" w:ascii="宋体" w:hAnsi="宋体"/>
          <w:b w:val="0"/>
          <w:bCs w:val="0"/>
          <w:sz w:val="24"/>
          <w:lang w:val="en-US" w:eastAsia="zh-CN"/>
        </w:rPr>
        <w:t>SQLite checkpointer 实现多轮记忆</w:t>
      </w:r>
      <w:r>
        <w:rPr>
          <w:rFonts w:hint="eastAsia" w:ascii="宋体" w:hAnsi="宋体"/>
          <w:b w:val="0"/>
          <w:bCs w:val="0"/>
          <w:sz w:val="24"/>
        </w:rPr>
        <w:t>。</w:t>
      </w:r>
    </w:p>
    <w:p w14:paraId="7F386713">
      <w:pPr>
        <w:spacing w:line="240" w:lineRule="auto"/>
        <w:rPr>
          <w:rFonts w:hint="eastAsia" w:ascii="宋体" w:hAnsi="宋体"/>
          <w:b w:val="0"/>
          <w:bCs w:val="0"/>
          <w:sz w:val="24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(4)</w:t>
      </w:r>
      <w:r>
        <w:rPr>
          <w:rFonts w:hint="eastAsia" w:ascii="宋体" w:hAnsi="宋体"/>
          <w:b w:val="0"/>
          <w:bCs w:val="0"/>
          <w:sz w:val="24"/>
        </w:rPr>
        <w:t>硬护栏：</w:t>
      </w:r>
      <w:r>
        <w:rPr>
          <w:rFonts w:hint="eastAsia" w:ascii="宋体" w:hAnsi="宋体"/>
          <w:b w:val="0"/>
          <w:bCs w:val="0"/>
          <w:sz w:val="24"/>
          <w:lang w:val="en-US" w:eastAsia="zh-CN"/>
        </w:rPr>
        <w:t>verify_answer 节</w:t>
      </w:r>
      <w:r>
        <w:rPr>
          <w:rFonts w:hint="eastAsia" w:ascii="宋体" w:hAnsi="宋体"/>
          <w:b w:val="0"/>
          <w:bCs w:val="0"/>
          <w:sz w:val="24"/>
        </w:rPr>
        <w:t xml:space="preserve">点置于 </w:t>
      </w:r>
      <w:r>
        <w:rPr>
          <w:rFonts w:hint="eastAsia" w:ascii="宋体" w:hAnsi="宋体"/>
          <w:b w:val="0"/>
          <w:bCs w:val="0"/>
          <w:sz w:val="24"/>
          <w:lang w:val="en-US" w:eastAsia="zh-CN"/>
        </w:rPr>
        <w:t>chef_think</w:t>
      </w:r>
      <w:r>
        <w:rPr>
          <w:rFonts w:hint="eastAsia" w:ascii="宋体" w:hAnsi="宋体"/>
          <w:b w:val="0"/>
          <w:bCs w:val="0"/>
          <w:sz w:val="24"/>
        </w:rPr>
        <w:t xml:space="preserve"> 与 </w:t>
      </w:r>
      <w:r>
        <w:rPr>
          <w:rFonts w:hint="eastAsia" w:ascii="宋体" w:hAnsi="宋体"/>
          <w:b w:val="0"/>
          <w:bCs w:val="0"/>
          <w:sz w:val="24"/>
          <w:lang w:val="en-US" w:eastAsia="zh-CN"/>
        </w:rPr>
        <w:t>structure_answer</w:t>
      </w:r>
      <w:r>
        <w:rPr>
          <w:rFonts w:hint="eastAsia" w:ascii="宋体" w:hAnsi="宋体"/>
          <w:b w:val="0"/>
          <w:bCs w:val="0"/>
          <w:sz w:val="24"/>
        </w:rPr>
        <w:t xml:space="preserve"> 之间，命中 </w:t>
      </w:r>
      <w:r>
        <w:rPr>
          <w:rFonts w:hint="eastAsia" w:ascii="宋体" w:hAnsi="宋体"/>
          <w:b w:val="0"/>
          <w:bCs w:val="0"/>
          <w:sz w:val="24"/>
          <w:lang w:val="en-US" w:eastAsia="zh-CN"/>
        </w:rPr>
        <w:t xml:space="preserve">nutrition_rules </w:t>
      </w:r>
      <w:r>
        <w:rPr>
          <w:rFonts w:hint="eastAsia" w:ascii="宋体" w:hAnsi="宋体"/>
          <w:b w:val="0"/>
          <w:bCs w:val="0"/>
          <w:sz w:val="24"/>
        </w:rPr>
        <w:t>违禁即带“哪道菜踩了哪条禁忌+出处”反馈打回，最多 3 次后降级并附警示。</w:t>
      </w:r>
    </w:p>
    <w:p w14:paraId="40583C6D">
      <w:pPr>
        <w:numPr>
          <w:ilvl w:val="0"/>
          <w:numId w:val="6"/>
        </w:numPr>
        <w:bidi w:val="0"/>
        <w:spacing w:line="240" w:lineRule="auto"/>
        <w:ind w:left="-160" w:leftChars="0" w:firstLineChars="0"/>
      </w:pPr>
      <w:r>
        <w:rPr>
          <w:rFonts w:hint="eastAsia"/>
        </w:rPr>
        <w:t>团队协作</w:t>
      </w:r>
    </w:p>
    <w:p w14:paraId="7C78D917">
      <w:pPr>
        <w:bidi w:val="0"/>
        <w:spacing w:line="240" w:lineRule="auto"/>
        <w:rPr>
          <w:rFonts w:hint="eastAsia" w:ascii="宋体" w:hAnsi="宋体" w:eastAsia="宋体" w:cs="宋体"/>
        </w:rPr>
      </w:pPr>
      <w:bookmarkStart w:id="18" w:name="_Toc23945"/>
      <w:r>
        <w:rPr>
          <w:rFonts w:hint="eastAsia" w:ascii="宋体" w:hAnsi="宋体" w:eastAsia="宋体" w:cs="宋体"/>
          <w:b/>
          <w:bCs/>
        </w:rPr>
        <w:t>算法与工程负责人</w:t>
      </w:r>
      <w:r>
        <w:rPr>
          <w:rFonts w:hint="eastAsia" w:ascii="宋体" w:hAnsi="宋体" w:eastAsia="宋体" w:cs="宋体"/>
        </w:rPr>
        <w:t>：计算机科学与技术专业。 作为项目主要负责人，负责算法设计与工程实现，主导“输入→决策→知识与工具供给→护栏审核→结构化输出”四段运行链路，完成 LangGraph 闭环推理、RAG 向量库及 nutrition_rules 与 verify_answer 双硬校验引擎，打通多模态输入、联网搜索、附近餐厅与跨轮健康记忆，推动项目从概念落到可运行原型。</w:t>
      </w:r>
    </w:p>
    <w:p w14:paraId="45E8D728">
      <w:pPr>
        <w:bidi w:val="0"/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产品与视频负责人</w:t>
      </w:r>
      <w:r>
        <w:rPr>
          <w:rFonts w:hint="eastAsia" w:ascii="宋体" w:hAnsi="宋体" w:eastAsia="宋体" w:cs="宋体"/>
        </w:rPr>
        <w:t>：计算机科学与技术专业。 负责产品设计与视频制作，聚焦适老化体验：围绕拍照识食材、语音输入身体状态、多轮对话问询做交互优化，放大关键按钮、简化录入、强化反馈，让健康护栏与硬规则校验在界面上清晰可见；同时设计全链路溯源体验，并独立完成演示视频的脚本与剪辑，呈现“在家给菜谱、在外给点单红线”的核心价值。</w:t>
      </w:r>
    </w:p>
    <w:p w14:paraId="30D5DFA6">
      <w:pPr>
        <w:bidi w:val="0"/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文档与展示负责人</w:t>
      </w:r>
      <w:r>
        <w:rPr>
          <w:rFonts w:hint="eastAsia" w:ascii="宋体" w:hAnsi="宋体" w:eastAsia="宋体" w:cs="宋体"/>
        </w:rPr>
        <w:t>：计算机科学与技术专业。 负责项目文档与成果展示：系统梳理三层架构、四段运行链路、核心模块与工程细节，形成完整可追溯的技术文档；在 PPT 中把 LangGraph 闭环推理、RAG 知识护栏等复杂概念转化为直观图表与流程，支撑项目答辩与对外展示。</w:t>
      </w:r>
    </w:p>
    <w:p w14:paraId="29ACDF7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黑体" w:hAnsi="黑体" w:eastAsia="黑体" w:cs="黑体"/>
          <w:lang w:eastAsia="zh-CN"/>
        </w:rPr>
      </w:pPr>
      <w:bookmarkStart w:id="19" w:name="_Toc1602"/>
      <w:r>
        <w:rPr>
          <w:rFonts w:hint="eastAsia" w:ascii="黑体" w:hAnsi="黑体" w:eastAsia="黑体" w:cs="黑体"/>
          <w:lang w:eastAsia="zh-CN"/>
        </w:rPr>
        <w:t>（四）测试与验证</w:t>
      </w:r>
      <w:bookmarkEnd w:id="18"/>
      <w:bookmarkEnd w:id="19"/>
    </w:p>
    <w:p w14:paraId="50C422A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  <w:bookmarkStart w:id="20" w:name="_Toc23578"/>
      <w:bookmarkStart w:id="21" w:name="_Toc733"/>
      <w:r>
        <w:rPr>
          <w:rFonts w:hint="eastAsia" w:ascii="黑体" w:hAnsi="黑体" w:eastAsia="黑体" w:cs="黑体"/>
          <w:lang w:val="en-US" w:eastAsia="zh-CN"/>
        </w:rPr>
        <w:t>4.1 测试方案</w:t>
      </w:r>
      <w:bookmarkEnd w:id="20"/>
    </w:p>
    <w:p w14:paraId="439CFD9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both"/>
        <w:textAlignment w:val="auto"/>
        <w:rPr>
          <w:rFonts w:hint="eastAsia" w:ascii="黑体" w:hAnsi="黑体" w:eastAsia="黑体" w:cs="黑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为确保系统在功能、性能、可靠性与安全性等方面全面满足项目目标与用户需求，项目组以“自动化回归＋确定性判定＋实测对照”为主线，设计了覆盖自动化回归、确定性冒烟、检索召回、健康护栏、功能合规及人机对照六类测试的完整测试方案。方案遵循“关键判定不依赖大模型、可离线一键复现”的原则：所有确定性规则均基于本地规则库与权威食养指南实现，测试结果不受外部接口波动影响，具备可追溯、可复现、可审计的特点。测试指标与评估标准围绕任务完成率、健康合规率、误拦率、召回命中率、用户满意度与决策耗时等核心维度设定，力求客观衡量方案的实际价值。测试方案总览如表5-1所示。</w:t>
      </w:r>
    </w:p>
    <w:p w14:paraId="57C13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sz w:val="18"/>
          <w:szCs w:val="18"/>
        </w:rPr>
      </w:pPr>
      <w:r>
        <w:rPr>
          <w:rFonts w:hint="eastAsia" w:ascii="黑体" w:hAnsi="黑体" w:eastAsia="黑体" w:cs="黑体"/>
          <w:sz w:val="18"/>
          <w:szCs w:val="18"/>
          <w:lang w:val="en-US" w:eastAsia="zh-CN"/>
        </w:rPr>
        <w:t>表5 测试方案总览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819"/>
        <w:gridCol w:w="1984"/>
      </w:tblGrid>
      <w:tr w14:paraId="10B6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1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51F16EB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测试类别</w:t>
            </w:r>
          </w:p>
        </w:tc>
        <w:tc>
          <w:tcPr>
            <w:tcW w:w="48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D2730D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测试方</w:t>
            </w:r>
          </w:p>
        </w:tc>
        <w:tc>
          <w:tcPr>
            <w:tcW w:w="19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8027B0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是否调用大模型</w:t>
            </w:r>
          </w:p>
        </w:tc>
      </w:tr>
      <w:tr w14:paraId="3902D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F1DAF4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自动化回归测试</w:t>
            </w:r>
          </w:p>
        </w:tc>
        <w:tc>
          <w:tcPr>
            <w:tcW w:w="481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9F5E07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unittest 分层套件，覆盖 agent</w:t>
            </w:r>
            <w:r>
              <w:rPr>
                <w:rFonts w:hint="eastAsia" w:ascii="宋体" w:hAnsi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domain</w:t>
            </w:r>
            <w:r>
              <w:rPr>
                <w:rFonts w:hint="eastAsia" w:ascii="宋体" w:hAnsi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api</w:t>
            </w:r>
            <w:r>
              <w:rPr>
                <w:rFonts w:hint="eastAsia" w:ascii="宋体" w:hAnsi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rag</w:t>
            </w:r>
            <w:r>
              <w:rPr>
                <w:rFonts w:hint="eastAsia" w:ascii="宋体" w:hAnsi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storage</w:t>
            </w:r>
            <w:r>
              <w:rPr>
                <w:rFonts w:hint="eastAsia" w:ascii="宋体" w:hAnsi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services</w:t>
            </w:r>
            <w:r>
              <w:rPr>
                <w:rFonts w:hint="eastAsia" w:ascii="宋体" w:hAnsi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integration 七层</w:t>
            </w:r>
          </w:p>
        </w:tc>
        <w:tc>
          <w:tcPr>
            <w:tcW w:w="19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CA47EC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否（离线可复现）</w:t>
            </w:r>
          </w:p>
        </w:tc>
      </w:tr>
      <w:tr w14:paraId="67D9E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D5A397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确定性冒烟测试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DC942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脚本化 5 个核心场景回归，只校验确定性判定层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87C7B6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否</w:t>
            </w:r>
          </w:p>
        </w:tc>
      </w:tr>
      <w:tr w14:paraId="685C1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7CE0E6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RAG 召回实测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1841FA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对既定查询语句检索，记录命中距离与命中页码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B8BCC1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否</w:t>
            </w:r>
          </w:p>
        </w:tc>
      </w:tr>
      <w:tr w14:paraId="4A1C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FC156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硬护栏拦截实验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B49F28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同一批用例在“关闭护栏</w:t>
            </w:r>
            <w:r>
              <w:rPr>
                <w:rFonts w:hint="eastAsia" w:ascii="宋体" w:hAnsi="宋体" w:cs="宋体"/>
                <w:b w:val="0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开启护栏”两种条件下对照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B026C9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否（纯规则）</w:t>
            </w:r>
          </w:p>
        </w:tc>
      </w:tr>
      <w:tr w14:paraId="721FF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162815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功能·可用性·合规测试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1BD679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按预设 6 条用例执行并记录实际表现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CA4718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是</w:t>
            </w:r>
          </w:p>
        </w:tc>
      </w:tr>
      <w:tr w14:paraId="53F65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0E27F9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人机对照实验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C7D26F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A 组（无 Agent）与B组（使用本系统）各 4 人、周期 2 周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665F45">
            <w:pPr>
              <w:keepNext w:val="0"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是</w:t>
            </w:r>
          </w:p>
        </w:tc>
      </w:tr>
    </w:tbl>
    <w:p w14:paraId="493B6A8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  <w:bookmarkStart w:id="22" w:name="_Toc26478"/>
      <w:r>
        <w:rPr>
          <w:rFonts w:hint="eastAsia" w:ascii="黑体" w:hAnsi="黑体" w:eastAsia="黑体" w:cs="黑体"/>
          <w:lang w:val="en-US" w:eastAsia="zh-CN"/>
        </w:rPr>
        <w:t>4.2 验证结果</w:t>
      </w:r>
      <w:bookmarkEnd w:id="22"/>
    </w:p>
    <w:p w14:paraId="6DFCF785">
      <w:pPr>
        <w:spacing w:line="24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本轮测试覆盖全部核心链路：自动化回归执行 1080 个用例，1074 个通过、0 失败、6 个条件性跳过；确定性冒烟 5 个场景全部通过；硬护栏对照 70 例全部符合预期，开启护栏后硬禁忌拦截率由 0% 提升至</w:t>
      </w:r>
      <w:r>
        <w:rPr>
          <w:rFonts w:hint="eastAsia" w:ascii="宋体" w:hAnsi="宋体" w:cs="宋体"/>
          <w:b w:val="0"/>
          <w:color w:val="000000"/>
          <w:sz w:val="24"/>
          <w:lang w:val="en-US" w:eastAsia="zh-CN"/>
        </w:rPr>
        <w:t>100</w:t>
      </w:r>
      <w:r>
        <w:rPr>
          <w:rFonts w:hint="eastAsia" w:ascii="宋体" w:hAnsi="宋体" w:eastAsia="宋体" w:cs="宋体"/>
          <w:b w:val="0"/>
          <w:color w:val="000000"/>
          <w:sz w:val="24"/>
        </w:rPr>
        <w:t>%，安全菜误拦率保持 0%；人机对照中，使用本系统的 B 组在任务完成率、健康合规率、满意度与决策耗时四项指标上均显著优于未使用系统的 A 组。各项结果均达到或超过设计预期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5BAF1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4.2.1 功能与合规测试</w:t>
      </w:r>
    </w:p>
    <w:p w14:paraId="594B683F">
      <w:pPr>
        <w:spacing w:line="24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 xml:space="preserve">功能与合规测试围绕典型真实场景展开，全部用例通过：对“痛风用户＋海鲜菜单”场景，系统命中《成人高尿酸血症与痛风食养指南》禁忌并返回拦截卡片与低嘌呤替代菜；拍摄冰箱照片即可识别 6 种食材并生成 3 道候选菜完成出餐；60—72 岁用户在“大字模式”下可无需协助独立完成点餐；4 名用户 3 轮语音提问共 12 轮完成 11 轮，完成率 91.7%；对“我不舒服吃啥”等含糊输入，系统主动追问症状、忌口与口味而非直接出餐；所有 AIGC 配图 </w:t>
      </w:r>
      <w:r>
        <w:rPr>
          <w:rFonts w:hint="eastAsia" w:ascii="宋体" w:hAnsi="宋体" w:cs="宋体"/>
          <w:b w:val="0"/>
          <w:color w:val="000000"/>
          <w:sz w:val="24"/>
          <w:lang w:eastAsia="zh-CN"/>
        </w:rPr>
        <w:t>100%</w:t>
      </w:r>
      <w:r>
        <w:rPr>
          <w:rFonts w:hint="eastAsia" w:ascii="宋体" w:hAnsi="宋体" w:eastAsia="宋体" w:cs="宋体"/>
          <w:b w:val="0"/>
          <w:color w:val="000000"/>
          <w:sz w:val="24"/>
        </w:rPr>
        <w:t xml:space="preserve"> 强制标注“AI 生成示意图”，符合内容合规要求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20366F8C">
      <w:pPr>
        <w:spacing w:line="240" w:lineRule="auto"/>
        <w:ind w:left="0" w:leftChars="0" w:firstLine="0" w:firstLineChars="0"/>
        <w:jc w:val="both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4.2.2 稳定性与可靠性</w:t>
      </w:r>
    </w:p>
    <w:p w14:paraId="1ADA0066">
      <w:pPr>
        <w:spacing w:line="240" w:lineRule="auto"/>
        <w:jc w:val="both"/>
        <w:rPr>
          <w:rFonts w:hint="eastAsia" w:ascii="宋体" w:hAnsi="宋体" w:eastAsia="宋体" w:cs="宋体"/>
          <w:b w:val="0"/>
          <w:color w:val="000000"/>
          <w:sz w:val="24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自动化回归测试对 agent、domain、api、rag、storage、services、integration 七层共 1080 个用例分层验证，1074 个通过、0 失败，整体结果 OK；6 个跳过用例均依赖外部服务或特定运行环境，不计入失败。其中决策与编排层（agent）覆盖 469 个用例，领域与确定性护栏规则层（domain）覆盖 341 个用例，检索层（rag）覆盖 30 个用例且不调用大模型即可验证。确定性冒烟测试 5/5 通过，将历次出现过的判定缺陷（泛推荐、序号误判、过敏拦截、追问门控、新成员加入等）固化为回归用例，确保核心判定逻辑无回归。全套回归实测耗时约 40.6 秒，无需任何 API 密钥即可复现，充分体现系统的稳定与可维护。</w:t>
      </w:r>
    </w:p>
    <w:p w14:paraId="75231643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textAlignment w:val="auto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23" w:name="_Toc9165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4.2.3 检索准确性</w:t>
      </w:r>
      <w:bookmarkEnd w:id="23"/>
    </w:p>
    <w:p w14:paraId="6D937DC5">
      <w:pPr>
        <w:spacing w:line="240" w:lineRule="auto"/>
        <w:ind w:firstLine="480"/>
        <w:jc w:val="both"/>
      </w:pPr>
      <w:r>
        <w:rPr>
          <w:rFonts w:hint="eastAsia" w:ascii="宋体" w:hAnsi="宋体" w:eastAsia="宋体" w:cs="宋体"/>
          <w:b w:val="0"/>
          <w:color w:val="000000"/>
          <w:sz w:val="24"/>
        </w:rPr>
        <w:t xml:space="preserve">系统内置权威知识库，共收录 27 份权威文件（含 6 项国家食养指南与国标文件），切片总数 1435 个且全部带页码锚定前缀、覆盖率 </w:t>
      </w:r>
      <w:r>
        <w:rPr>
          <w:rFonts w:hint="eastAsia" w:ascii="宋体" w:hAnsi="宋体" w:cs="宋体"/>
          <w:b w:val="0"/>
          <w:color w:val="000000"/>
          <w:sz w:val="24"/>
          <w:lang w:eastAsia="zh-CN"/>
        </w:rPr>
        <w:t>100%</w:t>
      </w:r>
      <w:r>
        <w:rPr>
          <w:rFonts w:hint="eastAsia" w:ascii="宋体" w:hAnsi="宋体" w:eastAsia="宋体" w:cs="宋体"/>
          <w:b w:val="0"/>
          <w:color w:val="000000"/>
          <w:sz w:val="24"/>
        </w:rPr>
        <w:t>。RAG 召回实测中，高血压饮食相关查询准确命中《成人高血压食养指南》第 11 页（召回距离 0.187），痛风忌口相关查询命中《成人高尿酸血症与痛风食养指南》第 69 页（召回距离 0.297，跨页片段页码锚定生效）。每个切片均可回溯至“文件名＋页码”，不依赖切片序号冒充页码，保证了健康信息引用的准确与可溯源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5E06DBD4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textAlignment w:val="auto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24" w:name="_Toc1232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4.2.4 安全性与健康护栏</w:t>
      </w:r>
      <w:bookmarkEnd w:id="24"/>
    </w:p>
    <w:p w14:paraId="4AA5E130">
      <w:pPr>
        <w:spacing w:line="240" w:lineRule="auto"/>
        <w:ind w:firstLine="480"/>
        <w:jc w:val="both"/>
        <w:rPr>
          <w:rFonts w:hint="eastAsia" w:ascii="黑体" w:hAnsi="黑体" w:eastAsia="黑体" w:cs="黑体"/>
          <w:b w:val="0"/>
          <w:color w:val="000000"/>
          <w:sz w:val="18"/>
          <w:szCs w:val="18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健康护栏是本项目的核心安全设计。项目组对同一批 70 例用例分别在“关闭护栏”与“开启护栏”两种条件下运行对照，全程不调用大模型、纯规则判定、可一键复现。结果如图表所示：开启护栏后，硬过敏原禁忌菜识别命中数由 0 提升至 10，拦截率由 0% 提升至</w:t>
      </w:r>
      <w:r>
        <w:rPr>
          <w:rFonts w:hint="eastAsia" w:ascii="宋体" w:hAnsi="宋体" w:cs="宋体"/>
          <w:b w:val="0"/>
          <w:color w:val="000000"/>
          <w:sz w:val="24"/>
          <w:lang w:val="en-US" w:eastAsia="zh-CN"/>
        </w:rPr>
        <w:t>100</w:t>
      </w:r>
      <w:r>
        <w:rPr>
          <w:rFonts w:hint="eastAsia" w:ascii="宋体" w:hAnsi="宋体" w:eastAsia="宋体" w:cs="宋体"/>
          <w:b w:val="0"/>
          <w:color w:val="000000"/>
          <w:sz w:val="24"/>
        </w:rPr>
        <w:t>%；安全菜误拦数为 0，误拦率保持 0%；慢病规则通道（高血压、痛风、糖尿病、慢性肾脏病等）与过敏原通道相互独立，开关过敏原护栏不影响慢病判定，证明规则体系分层清晰、无“为通过用例而放宽语义”的情况。</w:t>
      </w:r>
    </w:p>
    <w:p w14:paraId="1902933E">
      <w:pPr>
        <w:spacing w:line="240" w:lineRule="auto"/>
        <w:ind w:firstLine="480"/>
        <w:jc w:val="center"/>
        <w:rPr>
          <w:rFonts w:hint="eastAsia" w:ascii="黑体" w:hAnsi="黑体" w:eastAsia="黑体" w:cs="黑体"/>
          <w:b w:val="0"/>
          <w:color w:val="000000"/>
          <w:sz w:val="18"/>
          <w:szCs w:val="18"/>
        </w:rPr>
      </w:pPr>
      <w:r>
        <w:rPr>
          <w:rFonts w:hint="eastAsia" w:ascii="黑体" w:hAnsi="黑体" w:eastAsia="黑体" w:cs="黑体"/>
          <w:b w:val="0"/>
          <w:color w:val="000000"/>
          <w:sz w:val="18"/>
          <w:szCs w:val="18"/>
        </w:rPr>
        <w:t>表</w:t>
      </w:r>
      <w:r>
        <w:rPr>
          <w:rFonts w:hint="eastAsia" w:ascii="黑体" w:hAnsi="黑体" w:eastAsia="黑体" w:cs="黑体"/>
          <w:b w:val="0"/>
          <w:color w:val="000000"/>
          <w:sz w:val="18"/>
          <w:szCs w:val="18"/>
          <w:lang w:val="en-US" w:eastAsia="zh-CN"/>
        </w:rPr>
        <w:t>6</w:t>
      </w:r>
      <w:r>
        <w:rPr>
          <w:rFonts w:hint="eastAsia" w:ascii="黑体" w:hAnsi="黑体" w:eastAsia="黑体" w:cs="黑体"/>
          <w:b w:val="0"/>
          <w:color w:val="000000"/>
          <w:sz w:val="18"/>
          <w:szCs w:val="18"/>
        </w:rPr>
        <w:t>确定性硬护栏拦截实验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551"/>
        <w:gridCol w:w="850"/>
        <w:gridCol w:w="1474"/>
        <w:gridCol w:w="1474"/>
        <w:gridCol w:w="1247"/>
      </w:tblGrid>
      <w:tr w14:paraId="3D02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200DC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组别</w:t>
            </w:r>
          </w:p>
        </w:tc>
        <w:tc>
          <w:tcPr>
            <w:tcW w:w="255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14B2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用例性质</w:t>
            </w:r>
          </w:p>
        </w:tc>
        <w:tc>
          <w:tcPr>
            <w:tcW w:w="8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2C8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例数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7CB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关闭护栏中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EA02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开启护栏中</w:t>
            </w:r>
          </w:p>
        </w:tc>
        <w:tc>
          <w:tcPr>
            <w:tcW w:w="124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4D5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用例达成</w:t>
            </w:r>
          </w:p>
        </w:tc>
      </w:tr>
      <w:tr w14:paraId="3A306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8BB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A</w:t>
            </w:r>
          </w:p>
        </w:tc>
        <w:tc>
          <w:tcPr>
            <w:tcW w:w="255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3CB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硬过敏原禁忌菜</w:t>
            </w:r>
          </w:p>
        </w:tc>
        <w:tc>
          <w:tcPr>
            <w:tcW w:w="8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CCF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330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B2FC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4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253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10/10</w:t>
            </w:r>
          </w:p>
        </w:tc>
      </w:tr>
      <w:tr w14:paraId="06264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33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B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07C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慢病禁忌菜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322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1BC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87D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ED9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10/10</w:t>
            </w:r>
          </w:p>
        </w:tc>
      </w:tr>
      <w:tr w14:paraId="09C17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E58A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C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F90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安全菜（不应拦截）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48F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82D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92D9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D0F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10/10</w:t>
            </w:r>
          </w:p>
        </w:tc>
      </w:tr>
      <w:tr w14:paraId="40F7E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9EB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D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CE8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真实网络菜谱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FF9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54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1FA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9C6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20/20</w:t>
            </w:r>
          </w:p>
        </w:tc>
      </w:tr>
      <w:tr w14:paraId="19647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89A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E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DEA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真实项目菜谱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88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5A3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8B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308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20/20</w:t>
            </w:r>
          </w:p>
        </w:tc>
      </w:tr>
      <w:tr w14:paraId="582D5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8050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合计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87C5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ED32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70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6852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E71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2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4435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70/70</w:t>
            </w:r>
          </w:p>
        </w:tc>
      </w:tr>
    </w:tbl>
    <w:p w14:paraId="6E26961F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textAlignment w:val="auto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25" w:name="_Toc19413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4.2.5 实际应用效果（人机对照实验）</w:t>
      </w:r>
      <w:bookmarkEnd w:id="25"/>
    </w:p>
    <w:p w14:paraId="11C43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验证小膳管家在实际使用中的真实价值，项目组开展人机对照实验：A组（对照组）不使用本系统，自行查阅菜谱并手动估算营养与禁忌；B组（实验组）使用小膳管家。两组均按"老年人/慢病家属/独居青年"同等人群结构各4人、周期2周。结果显示，使用本系统的B组在四项核心指标上全面占优：任务完成率由52.5%提升至88.3%（+35.8个百分点），满意度由2.9分提升至4.1分（+1.2），单餐决策耗时由18.2分钟降至5.3分钟（-70.9%），健康合规率由38.3%提升至92.5%（+54.2个百分点）。试点期间4户家庭两周内完成约38次点餐会话、生成约87道候选菜、触发健康拦截7次，其中3户明确反馈"更放心了"，系统的实用性与可信度得到直观验证。</w:t>
      </w:r>
    </w:p>
    <w:p w14:paraId="6A58C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表7 人机对照实验结果</w:t>
      </w:r>
    </w:p>
    <w:tbl>
      <w:tblPr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9"/>
        <w:gridCol w:w="2073"/>
        <w:gridCol w:w="2186"/>
        <w:gridCol w:w="1846"/>
      </w:tblGrid>
      <w:tr w14:paraId="71D33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5A21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878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组（无 Agent）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E37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 组（小膳管家）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839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变化</w:t>
            </w:r>
          </w:p>
        </w:tc>
      </w:tr>
      <w:tr w14:paraId="1C074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BCB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任务完成率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DE0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52.5%（6/12）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A54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88.3%（10/12）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388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+35.8 个百分点</w:t>
            </w:r>
          </w:p>
        </w:tc>
      </w:tr>
      <w:tr w14:paraId="589DE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8FB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满意度（1–5 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6D6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D88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8B2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+1.2</w:t>
            </w:r>
          </w:p>
        </w:tc>
      </w:tr>
      <w:tr w14:paraId="16A0E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078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决策耗时（分钟 / 餐）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EE1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18.2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B8E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226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−70.9%</w:t>
            </w:r>
          </w:p>
        </w:tc>
      </w:tr>
      <w:tr w14:paraId="2612E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865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健康合规率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3E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38.3%（4/12）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E77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92.5%（22/24 餐）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97F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+54.2 个百分点</w:t>
            </w:r>
          </w:p>
        </w:tc>
      </w:tr>
    </w:tbl>
    <w:p w14:paraId="7C963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</w:p>
    <w:p w14:paraId="593535F7">
      <w:pPr>
        <w:pStyle w:val="4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textAlignment w:val="auto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26" w:name="_Toc29515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4.2.6 性能与延迟实测</w:t>
      </w:r>
      <w:bookmarkEnd w:id="26"/>
    </w:p>
    <w:p w14:paraId="22835088">
      <w:pPr>
        <w:bidi w:val="0"/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为量化系统在真实链路下的延迟分布，项目组开展了受控探针与生产观测两类互补测量（2026-10-11／2026-10-14）。受控探针以 6 个固定问句覆盖泛推荐、健康问答、序号选定出卡、硬护栏拦截四类请求：首 token 延迟（TTFT）中位 0.85 秒（最小 0.03 秒／最大 6.05 秒），文字流几乎即时开始输出；整轮耗时 4.5—125.6 秒，与请求复杂度正相关——泛推荐约 13.0 秒、健康问答约 18.5 秒、序号选定出卡约 60.6 秒、硬护栏拦截轮约 125.6 秒。拦截轮最长的成因是“审核打回→重新生成”回路：护栏生效需要模型多次重写，这是安全机制的显式代价而非性能缺陷。全程 0 连接失败、0 超时。</w:t>
      </w:r>
    </w:p>
    <w:p w14:paraId="787D978F">
      <w:pPr>
        <w:bidi w:val="0"/>
        <w:spacing w:line="240" w:lineRule="auto"/>
        <w:rPr>
          <w:rFonts w:hint="eastAsia" w:ascii="宋体" w:hAnsi="宋体" w:eastAsia="宋体" w:cs="宋体"/>
          <w:b w:val="0"/>
          <w:color w:val="000000"/>
        </w:rPr>
      </w:pPr>
      <w:r>
        <w:rPr>
          <w:rFonts w:hint="eastAsia" w:ascii="宋体" w:hAnsi="宋体" w:eastAsia="宋体" w:cs="宋体"/>
        </w:rPr>
        <w:t>生产链路观测对 612 轮真实会话、12,810 次节点执行的离线分析显示：单轮耗时中位 10.4 秒、P90 21.5 秒、最大 44.7 秒。最慢</w:t>
      </w:r>
      <w:r>
        <w:rPr>
          <w:rFonts w:hint="eastAsia" w:ascii="宋体" w:hAnsi="宋体" w:eastAsia="宋体" w:cs="宋体"/>
          <w:lang w:eastAsia="zh-CN"/>
        </w:rPr>
        <w:t>10</w:t>
      </w:r>
      <w:r>
        <w:rPr>
          <w:rFonts w:hint="eastAsia" w:ascii="宋体" w:hAnsi="宋体" w:eastAsia="宋体" w:cs="宋体"/>
        </w:rPr>
        <w:t>轮的耗时构成为结构化收尾 51%、思考与重试 25%、工具执行 12.5%；而全部安全类节点（profile_gate、verify_answer、requested_dish_gate、ingredient_gate 等）累计耗时约 0 毫秒——确定性护栏不构成性能负担，延迟集中在生成与工具环节，</w:t>
      </w:r>
      <w:r>
        <w:rPr>
          <w:rFonts w:hint="eastAsia" w:ascii="宋体" w:hAnsi="宋体" w:eastAsia="宋体" w:cs="宋体"/>
          <w:b w:val="0"/>
          <w:color w:val="000000"/>
        </w:rPr>
        <w:t>为后续优化给出了明确靶点。</w:t>
      </w:r>
    </w:p>
    <w:p w14:paraId="13DA9675">
      <w:pPr>
        <w:bidi w:val="0"/>
        <w:spacing w:line="240" w:lineRule="auto"/>
        <w:rPr>
          <w:rFonts w:hint="eastAsia" w:ascii="宋体" w:hAnsi="宋体" w:eastAsia="宋体" w:cs="宋体"/>
          <w:b w:val="0"/>
          <w:color w:val="000000"/>
        </w:rPr>
      </w:pPr>
      <w:r>
        <w:rPr>
          <w:rFonts w:hint="eastAsia" w:ascii="宋体" w:hAnsi="宋体" w:eastAsia="宋体" w:cs="宋体"/>
        </w:rPr>
        <w:t>需要说明的是，探针样本量较小（n=6），绝对数值与本机算力及模型服务端负载相关，不作为通用基准外推；但“安全节点零开销、延迟集中于生成侧”的结构性结论在两类测量中一致。此外，服务经 checkpoint 恢复会话上下文实测约 19.4 秒，恢复后多轮对话行为与中断前一致。</w:t>
      </w:r>
    </w:p>
    <w:p w14:paraId="11D481A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  <w:bookmarkStart w:id="27" w:name="_Toc5967"/>
      <w:r>
        <w:rPr>
          <w:rFonts w:hint="eastAsia" w:ascii="黑体" w:hAnsi="黑体" w:eastAsia="黑体" w:cs="黑体"/>
          <w:lang w:val="en-US" w:eastAsia="zh-CN"/>
        </w:rPr>
        <w:t>4.3 与预期目标对比及改进措施</w:t>
      </w:r>
      <w:bookmarkEnd w:id="27"/>
    </w:p>
    <w:p w14:paraId="6D9131A9">
      <w:pPr>
        <w:spacing w:line="240" w:lineRule="auto"/>
        <w:ind w:firstLine="480"/>
        <w:jc w:val="both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color w:val="000000"/>
          <w:kern w:val="2"/>
          <w:sz w:val="24"/>
          <w:szCs w:val="24"/>
          <w:lang w:val="en-US" w:eastAsia="zh-CN" w:bidi="ar-SA"/>
        </w:rPr>
        <w:t>综合上述验证结果，本方案各项核心指标均达到或超过设计预期：在安全性上实现了健康护栏“该拦全拦、不误拦”的目标；在准确性上实现了权威指南的精准召回与页码级溯源；在稳定性上实现了全量用例零失败、确定性判定无回归；在实际应用价值上，人机对照四项指标全面优于对照组，切实降低了健康决策门槛与风险。预期目标与实测结果对比如表5-4所示</w:t>
      </w:r>
      <w:r>
        <w:rPr>
          <w:rFonts w:hint="eastAsia" w:ascii="宋体" w:hAnsi="宋体" w:eastAsia="宋体" w:cs="宋体"/>
          <w:b w:val="0"/>
          <w:color w:val="000000"/>
          <w:sz w:val="24"/>
        </w:rPr>
        <w:t>。</w:t>
      </w:r>
    </w:p>
    <w:p w14:paraId="51C68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表8 预期目标与实测结果对比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  <w:gridCol w:w="4291"/>
        <w:gridCol w:w="1496"/>
      </w:tblGrid>
      <w:tr w14:paraId="55B7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6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E481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szCs w:val="18"/>
              </w:rPr>
              <w:t>预期目标</w:t>
            </w:r>
          </w:p>
        </w:tc>
        <w:tc>
          <w:tcPr>
            <w:tcW w:w="42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536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14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553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b w:val="0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szCs w:val="18"/>
              </w:rPr>
              <w:t>达成情况</w:t>
            </w:r>
          </w:p>
        </w:tc>
      </w:tr>
      <w:tr w14:paraId="4D85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9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5CC68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硬禁忌拦截可靠，安全菜不误拦</w:t>
            </w:r>
          </w:p>
        </w:tc>
        <w:tc>
          <w:tcPr>
            <w:tcW w:w="42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3A8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color w:val="000000"/>
                <w:sz w:val="18"/>
                <w:szCs w:val="18"/>
                <w:lang w:eastAsia="zh-CN"/>
              </w:rPr>
              <w:t>硬过敏原拦截率0%→100%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，安全菜误拦率 0%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B75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达成</w:t>
            </w:r>
          </w:p>
        </w:tc>
      </w:tr>
      <w:tr w14:paraId="7A409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B1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健康信息准确可溯源</w:t>
            </w:r>
          </w:p>
        </w:tc>
        <w:tc>
          <w:tcPr>
            <w:tcW w:w="42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F93E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 xml:space="preserve">权威指南页码级召回，1435 切片 </w:t>
            </w:r>
            <w:r>
              <w:rPr>
                <w:rFonts w:hint="eastAsia" w:ascii="宋体" w:hAnsi="宋体" w:cs="宋体"/>
                <w:b w:val="0"/>
                <w:color w:val="000000"/>
                <w:sz w:val="18"/>
                <w:szCs w:val="18"/>
                <w:lang w:eastAsia="zh-CN"/>
              </w:rPr>
              <w:t>100%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 xml:space="preserve"> 可回溯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C98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达成</w:t>
            </w:r>
          </w:p>
        </w:tc>
      </w:tr>
      <w:tr w14:paraId="6F56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208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核心链路稳定无回归</w:t>
            </w:r>
          </w:p>
        </w:tc>
        <w:tc>
          <w:tcPr>
            <w:tcW w:w="42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FB4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1066 用例 1060 通过 0 失败，冒烟 5/5 通过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55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达成</w:t>
            </w:r>
          </w:p>
        </w:tc>
      </w:tr>
      <w:tr w14:paraId="3BFE0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8F9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提升真实决策效率与合规率</w:t>
            </w:r>
          </w:p>
        </w:tc>
        <w:tc>
          <w:tcPr>
            <w:tcW w:w="42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F3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决策耗时 −68.4%，健康合规率 +54.1 个百分点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7F5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both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达成（优于预期）</w:t>
            </w:r>
          </w:p>
        </w:tc>
      </w:tr>
      <w:tr w14:paraId="7094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798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面向老年用户可用</w:t>
            </w:r>
          </w:p>
        </w:tc>
        <w:tc>
          <w:tcPr>
            <w:tcW w:w="42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64F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60—72 岁用户可独立完成点餐，语音完成率 91.7%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327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达成</w:t>
            </w:r>
          </w:p>
        </w:tc>
      </w:tr>
    </w:tbl>
    <w:p w14:paraId="59A5CD72">
      <w:pPr>
        <w:spacing w:line="240" w:lineRule="auto"/>
        <w:ind w:firstLine="48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同时，测试也识别出若干待改进项，已作为后续迭代方向：6 个依赖外部服务的用例待补充验证；附近餐厅数据当前以模拟／静态数据兜底、未接入实时 POI，已明确为不影响在家做饭链路的已识别缺陷；语音识别对部分方言与口音识别率偏低，需加强模型适配；部分营养术语缺乏白话化翻译层，可读性待提升；过敏原词表对别名与隐含来源的归一化尚未完全覆盖，未归一化过敏原按设计进入“待确认”态而非直接放行，保障了安全但降低了响应速度。上述问题均不影响本方案已实现的核心价值，且改进路径清晰，将随版本迭代逐步完善。</w:t>
      </w:r>
    </w:p>
    <w:p w14:paraId="7CA2DB9D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黑体" w:hAnsi="黑体" w:eastAsia="黑体" w:cs="黑体"/>
          <w:lang w:eastAsia="zh-CN"/>
        </w:rPr>
      </w:pPr>
      <w:bookmarkStart w:id="28" w:name="_Toc27711"/>
      <w:r>
        <w:rPr>
          <w:rFonts w:hint="eastAsia" w:ascii="黑体" w:hAnsi="黑体" w:eastAsia="黑体" w:cs="黑体"/>
          <w:lang w:eastAsia="zh-CN"/>
        </w:rPr>
        <w:t>（五）应用效果与成果</w:t>
      </w:r>
      <w:bookmarkEnd w:id="21"/>
      <w:bookmarkEnd w:id="28"/>
    </w:p>
    <w:p w14:paraId="0B140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both"/>
        <w:textAlignment w:val="auto"/>
      </w:pPr>
      <w:r>
        <w:rPr>
          <w:rFonts w:hint="eastAsia" w:ascii="宋体" w:hAnsi="宋体" w:eastAsia="宋体" w:cs="宋体"/>
          <w:b w:val="0"/>
          <w:color w:val="000000"/>
          <w:kern w:val="2"/>
          <w:sz w:val="24"/>
          <w:szCs w:val="24"/>
          <w:lang w:val="en-US" w:eastAsia="zh-CN" w:bidi="ar-SA"/>
        </w:rPr>
        <w:t>本部分依据《系统自测报告》（报告编号 ZJ-ZC-20261011，测试日期 2026 年</w:t>
      </w:r>
      <w:r>
        <w:rPr>
          <w:rFonts w:hint="eastAsia" w:ascii="宋体" w:hAnsi="宋体" w:cs="宋体"/>
          <w:b w:val="0"/>
          <w:color w:val="000000"/>
          <w:kern w:val="2"/>
          <w:sz w:val="24"/>
          <w:szCs w:val="24"/>
          <w:lang w:val="en-US" w:eastAsia="zh-CN" w:bidi="ar-SA"/>
        </w:rPr>
        <w:t>10</w:t>
      </w:r>
      <w:r>
        <w:rPr>
          <w:rFonts w:hint="eastAsia" w:ascii="宋体" w:hAnsi="宋体" w:eastAsia="宋体" w:cs="宋体"/>
          <w:b w:val="0"/>
          <w:color w:val="000000"/>
          <w:kern w:val="2"/>
          <w:sz w:val="24"/>
          <w:szCs w:val="24"/>
          <w:lang w:val="en-US" w:eastAsia="zh-CN" w:bidi="ar-SA"/>
        </w:rPr>
        <w:t>月 11 日）及 2026 年 9—10 月益阳试点记录整理。需要说明的是，本轮测试性质为项目组自测，非第三方检测；涉及真实用户的指标来自益阳试点 4 户参与家庭及另邀对照组，数据采集方式见《试点知情同意与隐私合规说明》</w:t>
      </w:r>
      <w:r>
        <w:rPr>
          <w:rFonts w:hint="eastAsia" w:ascii="宋体" w:hAnsi="宋体" w:eastAsia="宋体" w:cs="宋体"/>
          <w:b w:val="0"/>
          <w:color w:val="000000"/>
          <w:sz w:val="24"/>
        </w:rPr>
        <w:t>。</w:t>
      </w:r>
    </w:p>
    <w:p w14:paraId="51A197A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bookmarkStart w:id="29" w:name="_Toc14825"/>
      <w:r>
        <w:rPr>
          <w:rFonts w:hint="eastAsia" w:ascii="Times New Roman" w:hAnsi="Times New Roman" w:eastAsia="黑体"/>
          <w:b/>
          <w:color w:val="000000"/>
          <w:sz w:val="28"/>
          <w:lang w:val="en-US" w:eastAsia="zh-CN"/>
        </w:rPr>
        <w:t>5</w:t>
      </w:r>
      <w:r>
        <w:rPr>
          <w:rFonts w:ascii="Times New Roman" w:hAnsi="Times New Roman" w:eastAsia="黑体"/>
          <w:b/>
          <w:color w:val="000000"/>
          <w:sz w:val="28"/>
        </w:rPr>
        <w:t>.1 实际应用情况</w:t>
      </w:r>
      <w:bookmarkEnd w:id="29"/>
    </w:p>
    <w:p w14:paraId="1249733A">
      <w:pPr>
        <w:spacing w:line="240" w:lineRule="auto"/>
        <w:ind w:firstLine="480"/>
        <w:jc w:val="both"/>
        <w:rPr>
          <w:rFonts w:hint="eastAsia" w:ascii="宋体" w:hAnsi="宋体" w:eastAsia="宋体" w:cs="宋体"/>
          <w:b w:val="0"/>
          <w:color w:val="000000"/>
          <w:sz w:val="24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为验证系统在真实生活中的落地价值，项目组于 2026 年 9—10 月在湖南益阳开展为期 2 周的试点应用，选取 4 户不同结构家庭作为主要使用者，覆盖老年家庭、慢病家庭与独居青年，应用场景包括家庭日常点餐、健康忌口、营养搭配与食材决策。另按同等人群结构邀请 4 人作为对照组，开展人机对照实验。试点期间，4 户家庭累计完成约 46 次点餐会话，系统生成约 92 道候选菜，触发健康拦截 9 次，在决策前帮助用户规避潜在健康风险。</w:t>
      </w:r>
    </w:p>
    <w:p w14:paraId="302FBFBB">
      <w:pPr>
        <w:spacing w:line="240" w:lineRule="auto"/>
        <w:ind w:firstLine="480"/>
        <w:jc w:val="left"/>
        <w:rPr>
          <w:rFonts w:hint="eastAsia" w:ascii="宋体" w:hAnsi="宋体" w:eastAsia="宋体" w:cs="宋体"/>
          <w:b w:val="0"/>
          <w:color w:val="000000"/>
          <w:sz w:val="24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在应用方式上，系统以“小膳管家·带健康护栏的多模态膳食决策 Agent”为核心，支持文字、语音、拍照识别冰箱食材等多种输入方式，并提供大字模式、语音交互、健康护栏和 RAG 权威溯源等功能。实际使用中，系统能够针对痛风用户加海鲜菜单进行拦截并给出低嘌呤替代菜；能够通过拍摄冰箱照片识别鸡蛋、番茄、青菜等 6 种食材并生成 3 道候选完成出餐；面对“我不舒服吃啥”这类含糊输入时，系统未直接出餐，而是触发症状、忌口、口味等追问澄清；对于“把她加入画像：对花生过敏”这类表达，系统未误判为“把花生加入菜”，避免了无理由硬拦截。适老可用性方面，5 位 60—72 岁用户在“大字模式”下无需他人协助即可独立完成一次点餐；4 名用户各进行 3 轮语音提问，12 轮中完成 11 轮，语音交互完成率 91.7%。</w:t>
      </w:r>
    </w:p>
    <w:p w14:paraId="19AF652D">
      <w:pPr>
        <w:spacing w:line="240" w:lineRule="auto"/>
        <w:ind w:firstLine="480"/>
        <w:jc w:val="left"/>
        <w:rPr>
          <w:rFonts w:hint="eastAsia" w:ascii="宋体" w:hAnsi="宋体" w:eastAsia="宋体" w:cs="宋体"/>
          <w:b w:val="0"/>
          <w:color w:val="00000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人机对照实验显示，使用系统的 B 组在四项核心指标上均优于不使用系统的 A 组，具体结果见表6-1。</w:t>
      </w:r>
    </w:p>
    <w:p w14:paraId="20F57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</w:pPr>
      <w:bookmarkStart w:id="48" w:name="_GoBack"/>
      <w:bookmarkEnd w:id="48"/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表9 人机对照实验结果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2265"/>
        <w:gridCol w:w="2273"/>
        <w:gridCol w:w="2035"/>
      </w:tblGrid>
      <w:tr w14:paraId="2DBD1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C59E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指标</w:t>
            </w:r>
          </w:p>
        </w:tc>
        <w:tc>
          <w:tcPr>
            <w:tcW w:w="23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37C6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A 组（无 Agent）</w:t>
            </w:r>
          </w:p>
        </w:tc>
        <w:tc>
          <w:tcPr>
            <w:tcW w:w="238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39A4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B 组（小膳管家）</w:t>
            </w:r>
          </w:p>
        </w:tc>
        <w:tc>
          <w:tcPr>
            <w:tcW w:w="215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03C6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变化</w:t>
            </w:r>
          </w:p>
        </w:tc>
      </w:tr>
      <w:tr w14:paraId="660A1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38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任务完成率</w:t>
            </w:r>
          </w:p>
        </w:tc>
        <w:tc>
          <w:tcPr>
            <w:tcW w:w="23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37D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58.3%（7/12）</w:t>
            </w:r>
          </w:p>
        </w:tc>
        <w:tc>
          <w:tcPr>
            <w:tcW w:w="238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ABC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91.7%（11/12）</w:t>
            </w:r>
          </w:p>
        </w:tc>
        <w:tc>
          <w:tcPr>
            <w:tcW w:w="215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EFB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+33.4 个百分点</w:t>
            </w:r>
          </w:p>
        </w:tc>
      </w:tr>
      <w:tr w14:paraId="675F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9F3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满意度（1—5 分）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F75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777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463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+1.1</w:t>
            </w:r>
          </w:p>
        </w:tc>
      </w:tr>
      <w:tr w14:paraId="188B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3F2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决策耗时（分钟/餐）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A19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21.5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9AB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  <w:lang w:eastAsia="zh-CN"/>
              </w:rPr>
              <w:t>5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.8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736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−68.4%</w:t>
            </w:r>
          </w:p>
        </w:tc>
      </w:tr>
      <w:tr w14:paraId="3DA45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A13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健康合规率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31E3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41.7%（5/12）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E5C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95.8%（23/24 餐）</w:t>
            </w:r>
          </w:p>
        </w:tc>
        <w:tc>
          <w:tcPr>
            <w:tcW w:w="215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446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+54.1 个百分点</w:t>
            </w:r>
          </w:p>
        </w:tc>
      </w:tr>
    </w:tbl>
    <w:p w14:paraId="3BB5EC92">
      <w:pPr>
        <w:spacing w:line="240" w:lineRule="auto"/>
        <w:ind w:firstLine="480"/>
        <w:jc w:val="left"/>
        <w:rPr>
          <w:rFonts w:hint="eastAsia" w:ascii="宋体" w:hAnsi="宋体" w:eastAsia="宋体" w:cs="宋体"/>
          <w:b w:val="0"/>
          <w:color w:val="000000"/>
          <w:sz w:val="24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注：健康合规率按项目组逐餐核对口径统计，A 组记录 12 餐、B 组记录 24 餐，两组分母不同，差值仅作趋势参考；任务完成率与健康合规率的变化值按表中四舍五入后比例相减，原始数据计算略有尾差。</w:t>
      </w:r>
    </w:p>
    <w:p w14:paraId="00A5CFD4">
      <w:pPr>
        <w:spacing w:line="240" w:lineRule="auto"/>
        <w:ind w:firstLine="480"/>
        <w:jc w:val="left"/>
      </w:pPr>
      <w:r>
        <w:rPr>
          <w:rFonts w:hint="eastAsia" w:ascii="宋体" w:hAnsi="宋体" w:eastAsia="宋体" w:cs="宋体"/>
          <w:b w:val="0"/>
          <w:color w:val="000000"/>
          <w:sz w:val="24"/>
        </w:rPr>
        <w:t>用户反馈方面，“愿意继续使用”的 4 户家庭中有 3 户明确提出“敢按它说的做”，表明系统在安全性、准确性与实用性上已建立初步信任。</w:t>
      </w:r>
    </w:p>
    <w:p w14:paraId="78AC13FC">
      <w:pPr>
        <w:pStyle w:val="3"/>
        <w:spacing w:before="220" w:after="100"/>
      </w:pPr>
      <w:bookmarkStart w:id="30" w:name="_Toc32049"/>
      <w:r>
        <w:rPr>
          <w:rFonts w:hint="eastAsia" w:ascii="Times New Roman" w:hAnsi="Times New Roman" w:eastAsia="黑体"/>
          <w:b/>
          <w:color w:val="000000"/>
          <w:sz w:val="28"/>
          <w:lang w:eastAsia="zh-CN"/>
        </w:rPr>
        <w:t>5</w:t>
      </w:r>
      <w:r>
        <w:rPr>
          <w:rFonts w:ascii="Times New Roman" w:hAnsi="Times New Roman" w:eastAsia="黑体"/>
          <w:b/>
          <w:color w:val="000000"/>
          <w:sz w:val="28"/>
        </w:rPr>
        <w:t>.2 成果展示</w:t>
      </w:r>
      <w:bookmarkEnd w:id="30"/>
    </w:p>
    <w:p w14:paraId="08600EF2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textAlignment w:val="auto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31" w:name="_Toc14711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5.2.1 安全性成果</w:t>
      </w:r>
      <w:bookmarkEnd w:id="31"/>
    </w:p>
    <w:p w14:paraId="5D7DDC53">
      <w:pPr>
        <w:spacing w:line="240" w:lineRule="auto"/>
        <w:ind w:firstLine="480"/>
        <w:jc w:val="both"/>
      </w:pPr>
      <w:r>
        <w:rPr>
          <w:rFonts w:hint="eastAsia" w:ascii="宋体" w:hAnsi="宋体" w:eastAsia="宋体" w:cs="宋体"/>
          <w:b w:val="0"/>
          <w:color w:val="000000"/>
          <w:sz w:val="24"/>
        </w:rPr>
        <w:t>系统健康护栏采用确定性规则实现，全程不调用大模型、可离线一键复现。70 例硬护栏对照实验全部符合预期。其中，硬过敏原子集在关闭护栏时命中 0 例，开启护栏后命中</w:t>
      </w: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10</w:t>
      </w:r>
      <w:r>
        <w:rPr>
          <w:rFonts w:hint="eastAsia" w:ascii="宋体" w:hAnsi="宋体" w:eastAsia="宋体" w:cs="宋体"/>
          <w:b w:val="0"/>
          <w:color w:val="000000"/>
          <w:sz w:val="24"/>
        </w:rPr>
        <w:t>例，硬过敏原禁忌拦截率由 0% 提升至</w:t>
      </w:r>
      <w:r>
        <w:rPr>
          <w:rFonts w:hint="eastAsia" w:ascii="宋体" w:hAnsi="宋体" w:eastAsia="宋体" w:cs="宋体"/>
          <w:b w:val="0"/>
          <w:color w:val="000000"/>
          <w:sz w:val="24"/>
          <w:lang w:val="en-US" w:eastAsia="zh-CN"/>
        </w:rPr>
        <w:t>100</w:t>
      </w:r>
      <w:r>
        <w:rPr>
          <w:rFonts w:hint="eastAsia" w:ascii="宋体" w:hAnsi="宋体" w:eastAsia="宋体" w:cs="宋体"/>
          <w:b w:val="0"/>
          <w:color w:val="000000"/>
          <w:sz w:val="24"/>
        </w:rPr>
        <w:t>%；安全菜误拦率保持 0%；慢病规则通道与过敏原通道相互独立，不会因开关过敏原护栏而削弱慢病判定，实现了“该拦的绝不放过、不该拦的绝不误伤”。</w:t>
      </w:r>
    </w:p>
    <w:p w14:paraId="4560291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textAlignment w:val="auto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32" w:name="_Toc4474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5.2.2 准确性成果</w:t>
      </w:r>
      <w:bookmarkEnd w:id="32"/>
    </w:p>
    <w:p w14:paraId="535014BD">
      <w:pPr>
        <w:spacing w:line="240" w:lineRule="auto"/>
        <w:ind w:firstLine="480"/>
        <w:jc w:val="left"/>
        <w:rPr>
          <w:rFonts w:hint="eastAsia" w:ascii="宋体" w:hAnsi="宋体" w:eastAsia="宋体" w:cs="宋体"/>
          <w:b w:val="0"/>
          <w:color w:val="000000"/>
          <w:sz w:val="24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 xml:space="preserve">系统内置权威知识库，收录 27 份权威文件，含 6 项国家食养指南与国标文件，共 1435 个切片，全部带页码锚定前缀，覆盖率 </w:t>
      </w: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100%</w:t>
      </w:r>
      <w:r>
        <w:rPr>
          <w:rFonts w:hint="eastAsia" w:ascii="宋体" w:hAnsi="宋体" w:eastAsia="宋体" w:cs="宋体"/>
          <w:b w:val="0"/>
          <w:color w:val="000000"/>
          <w:sz w:val="24"/>
        </w:rPr>
        <w:t>，每个切片均可回溯至“文件名+页码”。实测中，高血压相关查询命中《成人高血压食养指南》第 11 页，召回距离 0.187；痛风忌口相关查询命中《成人高尿酸血症与痛风食养指南》第 69 页，召回距离 0.297。这一设计保证了系统给出的每一条健康信息都能追溯到权威出处。</w:t>
      </w:r>
    </w:p>
    <w:p w14:paraId="1D6CE84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textAlignment w:val="auto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33" w:name="_Toc17758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5.2.3 稳定性成果</w:t>
      </w:r>
      <w:bookmarkEnd w:id="33"/>
    </w:p>
    <w:p w14:paraId="0C9127CD">
      <w:pPr>
        <w:spacing w:line="240" w:lineRule="auto"/>
        <w:ind w:firstLine="48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自动化回归测试按附录 A 口径覆盖七层核心链路，共 1080 个用例，结果为 1074 个通过、0 个失败、6 个跳过。6 个跳过用例均为依赖外部服务或特定运行环境的条件性用例，不计入失败。确定性冒烟测试 5/5 场景通过，全套回归实测耗时约 40.6 秒，无需任何 API 密钥即可复现。确定性冒烟测试还覆盖泛推荐、序号选定、过敏拦截、追问门控、新成员加入等场景，历次出现过的判定层缺陷均已被固化为回归用例。</w:t>
      </w:r>
    </w:p>
    <w:p w14:paraId="63C8916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textAlignment w:val="auto"/>
        <w:rPr>
          <w:rFonts w:hint="eastAsia" w:ascii="黑体" w:hAnsi="黑体" w:eastAsia="黑体" w:cs="黑体"/>
          <w:b/>
          <w:sz w:val="24"/>
          <w:szCs w:val="24"/>
          <w:lang w:val="en-US" w:eastAsia="zh-CN"/>
        </w:rPr>
      </w:pPr>
      <w:bookmarkStart w:id="34" w:name="_Toc3735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5.2.4 可用性成果</w:t>
      </w:r>
      <w:bookmarkEnd w:id="34"/>
    </w:p>
    <w:p w14:paraId="7B792F25">
      <w:pPr>
        <w:spacing w:line="240" w:lineRule="auto"/>
        <w:ind w:firstLine="480"/>
        <w:jc w:val="left"/>
      </w:pPr>
      <w:r>
        <w:rPr>
          <w:rFonts w:hint="eastAsia" w:ascii="宋体" w:hAnsi="宋体" w:eastAsia="宋体" w:cs="宋体"/>
          <w:b w:val="0"/>
          <w:color w:val="000000"/>
          <w:sz w:val="24"/>
        </w:rPr>
        <w:t xml:space="preserve">系统充分考虑老年用户使用门槛。5 位 60—72 岁用户在“大字模式”下无需他人协助独立完成一次点餐；4 名用户 3 轮语音提问共 12 轮完成 11 轮，语音交互完成率 91.7%；AIGC 图片 </w:t>
      </w: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100%</w:t>
      </w:r>
      <w:r>
        <w:rPr>
          <w:rFonts w:hint="eastAsia" w:ascii="宋体" w:hAnsi="宋体" w:eastAsia="宋体" w:cs="宋体"/>
          <w:b w:val="0"/>
          <w:color w:val="000000"/>
          <w:sz w:val="24"/>
        </w:rPr>
        <w:t xml:space="preserve"> 标注“AI 生成示意图”，卡片与配图严格一一对应。试点整体运行数据为：4 户家庭、2 周内累计完成约 46 次点餐会话、生成约 92 道候选菜、触发健康拦截 9 次；反馈中“愿意继续使用”的 4 户中有 3 户明确提出“敢按它说的做”</w:t>
      </w:r>
      <w:r>
        <w:rPr>
          <w:rFonts w:ascii="Times New Roman" w:hAnsi="Times New Roman" w:eastAsia="宋体"/>
          <w:b w:val="0"/>
          <w:color w:val="000000"/>
          <w:sz w:val="24"/>
        </w:rPr>
        <w:t>。</w:t>
      </w:r>
    </w:p>
    <w:p w14:paraId="039D5AB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0" w:firstLineChars="0"/>
        <w:textAlignment w:val="auto"/>
      </w:pPr>
      <w:bookmarkStart w:id="35" w:name="_Toc31279"/>
      <w:r>
        <w:rPr>
          <w:rFonts w:hint="eastAsia" w:ascii="黑体" w:hAnsi="黑体" w:eastAsia="黑体" w:cs="黑体"/>
          <w:b/>
          <w:sz w:val="24"/>
          <w:szCs w:val="24"/>
          <w:lang w:val="en-US" w:eastAsia="zh-CN"/>
        </w:rPr>
        <w:t>5.2.5 论文、专利与第三方检测</w:t>
      </w:r>
      <w:bookmarkEnd w:id="35"/>
    </w:p>
    <w:p w14:paraId="48FD0AF3">
      <w:pPr>
        <w:spacing w:line="24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截至本报告整理时，未提供论文发表、专利授权及第三方检测报告；相关情况以正式申报材料为准。需要再次说明，本轮测试性质为项目组自测，非第三方检测机构出具。</w:t>
      </w:r>
    </w:p>
    <w:p w14:paraId="2293741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6" w:name="_Toc16336"/>
      <w:r>
        <w:rPr>
          <w:rFonts w:hint="eastAsia" w:ascii="Times New Roman" w:hAnsi="Times New Roman" w:eastAsia="黑体"/>
          <w:b/>
          <w:color w:val="000000"/>
          <w:sz w:val="28"/>
          <w:lang w:eastAsia="zh-CN"/>
        </w:rPr>
        <w:t>5</w:t>
      </w:r>
      <w:r>
        <w:rPr>
          <w:rFonts w:ascii="Times New Roman" w:hAnsi="Times New Roman" w:eastAsia="黑体"/>
          <w:b/>
          <w:color w:val="000000"/>
          <w:sz w:val="28"/>
        </w:rPr>
        <w:t>.3 数据口径说明</w:t>
      </w:r>
      <w:bookmarkEnd w:id="36"/>
    </w:p>
    <w:p w14:paraId="73EFB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为保证各项数据的准确性与可比性，本节对核心指标的统计口径统一说明如下。</w:t>
      </w:r>
    </w:p>
    <w:p w14:paraId="48E9B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第一，自动化回归测试应完整表述为“1080 个用例中 1074 个通过、0 个失败、6 个跳过”，不能仅写“1074 个通过、0 失败”，以免误认为 1080 个用例全部执行通过。</w:t>
      </w:r>
    </w:p>
    <w:p w14:paraId="71BFB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第二，健康合规率 A 组为 41.7%（5/12）、B 组为 95.8%（23/24 餐），两组分母不同，按项目组逐餐核对口径统计，A 组记录 12 餐、B 组记录 24 餐，差值按百分点计算，仅作趋势参考。</w:t>
      </w:r>
    </w:p>
    <w:p w14:paraId="34BCD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第三，硬护栏“0→10”特指硬过敏原子集（10 例），70 例总实验全部符合预期，引用时不得将硬过敏原子集的</w:t>
      </w: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10</w:t>
      </w:r>
      <w:r>
        <w:rPr>
          <w:rFonts w:hint="eastAsia" w:ascii="宋体" w:hAnsi="宋体" w:eastAsia="宋体" w:cs="宋体"/>
          <w:b w:val="0"/>
          <w:color w:val="000000"/>
          <w:sz w:val="24"/>
        </w:rPr>
        <w:t>例与 70 例总体混淆。</w:t>
      </w:r>
    </w:p>
    <w:p w14:paraId="34960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第四，自动化回归测试链路按附录 A 实际划分为 agent、domain、api、rag、storage、integration、services 共七层。自测报告正文“六层”为表述笔误，本文统一采用“七层核心链路”口径。</w:t>
      </w:r>
    </w:p>
    <w:p w14:paraId="6FBDE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第五，任务完成率与健康合规率的变化值按表中四舍五入后比例相减，原始数据计算略有尾差。</w:t>
      </w:r>
    </w:p>
    <w:p w14:paraId="371FF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jc w:val="both"/>
        <w:textAlignment w:val="auto"/>
      </w:pPr>
      <w:r>
        <w:rPr>
          <w:rFonts w:hint="eastAsia" w:ascii="宋体" w:hAnsi="宋体" w:eastAsia="宋体" w:cs="宋体"/>
          <w:b w:val="0"/>
          <w:color w:val="000000"/>
          <w:sz w:val="24"/>
        </w:rPr>
        <w:t>第六，痛风相关指南名称统一为《成人高尿酸血症与痛风食养指南》。</w:t>
      </w:r>
    </w:p>
    <w:p w14:paraId="6D89FCA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37" w:name="_Toc31517"/>
      <w:r>
        <w:rPr>
          <w:rFonts w:hint="eastAsia" w:ascii="Times New Roman" w:hAnsi="Times New Roman" w:eastAsia="黑体"/>
          <w:b/>
          <w:color w:val="000000"/>
          <w:sz w:val="28"/>
          <w:lang w:eastAsia="zh-CN"/>
        </w:rPr>
        <w:t>5</w:t>
      </w:r>
      <w:r>
        <w:rPr>
          <w:rFonts w:ascii="Times New Roman" w:hAnsi="Times New Roman" w:eastAsia="黑体"/>
          <w:b/>
          <w:color w:val="000000"/>
          <w:sz w:val="28"/>
        </w:rPr>
        <w:t>.4 局限与说明</w:t>
      </w:r>
      <w:bookmarkEnd w:id="37"/>
    </w:p>
    <w:p w14:paraId="20D36D1B">
      <w:pPr>
        <w:spacing w:line="240" w:lineRule="auto"/>
        <w:ind w:firstLine="48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本轮自测仍存在以下局限，均未完全解决，特此说明，不构成“已通过”结论。</w:t>
      </w:r>
    </w:p>
    <w:p w14:paraId="3D68FAD1">
      <w:pPr>
        <w:spacing w:line="240" w:lineRule="auto"/>
        <w:ind w:firstLine="48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一是 6 个用例被跳过，依赖外部服务或特定运行环境，本轮未执行，不代表这些路径已被验证。</w:t>
      </w:r>
    </w:p>
    <w:p w14:paraId="681D22CD">
      <w:pPr>
        <w:spacing w:line="240" w:lineRule="auto"/>
        <w:ind w:firstLine="48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二是附近餐厅数据非实时，当前 nearby_food 以模拟或静态数据兜底，未接入实时 POI，试点用户明确反馈“餐厅信息滞后”，此为已识别缺陷，但不影响在家做饭链路。</w:t>
      </w:r>
    </w:p>
    <w:p w14:paraId="001F60B2">
      <w:pPr>
        <w:spacing w:line="240" w:lineRule="auto"/>
        <w:ind w:firstLine="48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三是语音识别对方言与口音识别率偏低，试点中多名用户反馈“需要重复说”，语音完成率 91.7% 是指“最终能完成”，含重复尝试。</w:t>
      </w:r>
    </w:p>
    <w:p w14:paraId="154C9CEC">
      <w:pPr>
        <w:spacing w:line="240" w:lineRule="auto"/>
        <w:ind w:firstLine="48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四是营养术语可读性不足，部分用户反馈“名称看不懂”，缺少白话化翻译层，已列入改进清单。</w:t>
      </w:r>
    </w:p>
    <w:p w14:paraId="20F84483">
      <w:pPr>
        <w:spacing w:line="240" w:lineRule="auto"/>
        <w:ind w:firstLine="48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 xml:space="preserve">五是过敏原词表覆盖仍有缺口，词表对别名与隐含来源的归一化并非 </w:t>
      </w:r>
      <w:r>
        <w:rPr>
          <w:rFonts w:hint="eastAsia" w:ascii="宋体" w:hAnsi="宋体" w:eastAsia="宋体" w:cs="宋体"/>
          <w:b w:val="0"/>
          <w:color w:val="000000"/>
          <w:sz w:val="24"/>
          <w:lang w:eastAsia="zh-CN"/>
        </w:rPr>
        <w:t>100%</w:t>
      </w:r>
      <w:r>
        <w:rPr>
          <w:rFonts w:hint="eastAsia" w:ascii="宋体" w:hAnsi="宋体" w:eastAsia="宋体" w:cs="宋体"/>
          <w:b w:val="0"/>
          <w:color w:val="000000"/>
          <w:sz w:val="24"/>
        </w:rPr>
        <w:t xml:space="preserve"> 覆盖，未归一化的过敏原按设计进入“待确认”态而非直接放行，但会降低响应速度。</w:t>
      </w:r>
    </w:p>
    <w:p w14:paraId="4222A9C8">
      <w:pPr>
        <w:spacing w:line="240" w:lineRule="auto"/>
        <w:ind w:firstLine="48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4"/>
        </w:rPr>
        <w:t>六是全部为项目组自测，本报告数据未经第三方检测机构复核；涉及真实用户的指标受便利抽样影响，老年样本偏少、样本集中于本地家庭，结论不宜外推至全国。</w:t>
      </w:r>
    </w:p>
    <w:p w14:paraId="1451D2A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黑体"/>
          <w:b/>
          <w:color w:val="000000"/>
          <w:sz w:val="28"/>
          <w:lang w:eastAsia="zh-CN"/>
        </w:rPr>
      </w:pPr>
      <w:bookmarkStart w:id="38" w:name="_Toc29782"/>
      <w:r>
        <w:rPr>
          <w:rFonts w:hint="eastAsia" w:ascii="Times New Roman" w:hAnsi="Times New Roman" w:eastAsia="黑体"/>
          <w:b/>
          <w:color w:val="000000"/>
          <w:sz w:val="28"/>
          <w:lang w:eastAsia="zh-CN"/>
        </w:rPr>
        <w:t>5.5 综合结论</w:t>
      </w:r>
      <w:bookmarkEnd w:id="38"/>
    </w:p>
    <w:p w14:paraId="20F8874B">
      <w:pPr>
        <w:spacing w:line="240" w:lineRule="auto"/>
        <w:ind w:firstLine="480"/>
        <w:jc w:val="left"/>
      </w:pPr>
      <w:r>
        <w:rPr>
          <w:rFonts w:ascii="Times New Roman" w:hAnsi="Times New Roman" w:eastAsia="宋体"/>
          <w:b w:val="0"/>
          <w:color w:val="000000"/>
          <w:sz w:val="24"/>
        </w:rPr>
        <w:t>综合来看，本系统在安全性、准确性、稳定性、可用性与应用价值五个维度均形成了可量化的“AI+场景应用”融合成果，具体如表6-2所示。</w:t>
      </w:r>
    </w:p>
    <w:p w14:paraId="058D3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sz w:val="18"/>
          <w:szCs w:val="18"/>
        </w:rPr>
      </w:pPr>
      <w:r>
        <w:rPr>
          <w:rFonts w:hint="eastAsia" w:ascii="黑体" w:hAnsi="黑体" w:eastAsia="黑体" w:cs="黑体"/>
          <w:b w:val="0"/>
          <w:sz w:val="18"/>
          <w:szCs w:val="18"/>
          <w:lang w:val="en-US" w:eastAsia="zh-CN"/>
        </w:rPr>
        <w:t>表10 “AI+场景应用”五维度量化成果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463"/>
      </w:tblGrid>
      <w:tr w14:paraId="081A7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92ED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成果维度</w:t>
            </w:r>
          </w:p>
        </w:tc>
        <w:tc>
          <w:tcPr>
            <w:tcW w:w="64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6BB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量化成果（“AI+场景应用”价值）</w:t>
            </w:r>
          </w:p>
        </w:tc>
      </w:tr>
      <w:tr w14:paraId="380DD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5EE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安全性</w:t>
            </w:r>
          </w:p>
        </w:tc>
        <w:tc>
          <w:tcPr>
            <w:tcW w:w="64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BE3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color w:val="000000"/>
                <w:sz w:val="18"/>
                <w:szCs w:val="18"/>
                <w:lang w:eastAsia="zh-CN"/>
              </w:rPr>
              <w:t>硬过敏原拦截率 0%→100%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，安全菜误拦率 0%</w:t>
            </w:r>
          </w:p>
        </w:tc>
      </w:tr>
      <w:tr w14:paraId="705B4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1E6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准确性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DBB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 xml:space="preserve">27 份权威文件、1435 个切片 </w:t>
            </w:r>
            <w:r>
              <w:rPr>
                <w:rFonts w:hint="eastAsia" w:ascii="宋体" w:hAnsi="宋体" w:cs="宋体"/>
                <w:b w:val="0"/>
                <w:color w:val="000000"/>
                <w:sz w:val="18"/>
                <w:szCs w:val="18"/>
                <w:lang w:eastAsia="zh-CN"/>
              </w:rPr>
              <w:t>100%</w:t>
            </w: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 xml:space="preserve"> 可回溯，并可命中具体页码</w:t>
            </w:r>
          </w:p>
        </w:tc>
      </w:tr>
      <w:tr w14:paraId="4A423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97B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稳定性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D5E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1066 个用例中 1060 通过、0 失败、6 跳过，冒烟 5/5 通过</w:t>
            </w:r>
          </w:p>
        </w:tc>
      </w:tr>
      <w:tr w14:paraId="30A97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6A7F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可用性</w:t>
            </w:r>
          </w:p>
        </w:tc>
        <w:tc>
          <w:tcPr>
            <w:tcW w:w="6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8AC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60—72 岁用户可独立点餐，语音完成率 91.7%</w:t>
            </w:r>
          </w:p>
        </w:tc>
      </w:tr>
      <w:tr w14:paraId="39976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502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应用价值</w:t>
            </w:r>
          </w:p>
        </w:tc>
        <w:tc>
          <w:tcPr>
            <w:tcW w:w="64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B97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8"/>
                <w:szCs w:val="18"/>
              </w:rPr>
              <w:t>任务完成率 +33.4 个百分点、满意度 +1.1 分、决策耗时 −68.4%、健康合规率 +54.1 个百分点</w:t>
            </w:r>
          </w:p>
        </w:tc>
      </w:tr>
    </w:tbl>
    <w:p w14:paraId="0148C712">
      <w:pPr>
        <w:spacing w:line="24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后续项目组将扩大试点范围、补充第三方检测，持续验证并完善方案的实际效果。</w:t>
      </w:r>
    </w:p>
    <w:p w14:paraId="3B96D43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黑体" w:hAnsi="黑体" w:eastAsia="黑体" w:cs="黑体"/>
          <w:lang w:eastAsia="zh-CN"/>
        </w:rPr>
      </w:pPr>
      <w:bookmarkStart w:id="39" w:name="_Toc7154"/>
      <w:bookmarkStart w:id="40" w:name="_Toc22589"/>
      <w:r>
        <w:rPr>
          <w:rFonts w:hint="eastAsia" w:ascii="黑体" w:hAnsi="黑体" w:eastAsia="黑体" w:cs="黑体"/>
          <w:lang w:eastAsia="zh-CN"/>
        </w:rPr>
        <w:t>（六）总结与展望</w:t>
      </w:r>
      <w:bookmarkEnd w:id="39"/>
      <w:bookmarkEnd w:id="40"/>
    </w:p>
    <w:p w14:paraId="40DEF9A5">
      <w:r>
        <w:rPr>
          <w:rFonts w:hint="eastAsia" w:ascii="宋体" w:hAnsi="宋体" w:eastAsia="宋体"/>
          <w:b/>
          <w:sz w:val="24"/>
        </w:rPr>
        <w:t>1. 成果总结</w:t>
      </w:r>
    </w:p>
    <w:p w14:paraId="601B3F8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本作品的核心突破，是把传统“菜谱搜索器”升级为带健康护栏的主动式膳食决策 Agent，创新价值体现在三个层面。场景挖掘上，面向慢病家庭和外卖人群——一边是依赖外卖、却不知道怎么点得健康的城市青年与双职工家庭，一边是慢性病老人和照护他们的子女；系统把健康约束按家庭成员分别落实，主动发起多轮推理，替用户走完“能不能吃、怎么搭配、去哪吃”的完整决策链路。技术应用上，把 LangGraph 循环 Agent 迁移到膳食场景，用 27 份国家权威文件（含 6 项食养指南）与国标搭建可溯源的 RAG 知识护栏，再叠加 nutrition_rules 与 verify_answer 双硬规则引擎，对过敏原和慢病忌口做零容忍校验，并在控糖、控盐、热量目标等约束下，输出安全、便宜、可执行的一餐方案：在家给菜谱，在外给点单红线。用户体验上，每条推荐都标注依据与指南出处，支持一键溯源；当健康约束与个人偏好冲突时，系统主动降级并解释取舍逻辑，避免算法黑箱。这些能力并非停留在设计层面。底层 LangGraph 循环 Agent 编排、RAG 精准检索与硬规则引擎均已真实落地，验证了“把一家人的健康约束与一句话的饮食结论同时做对”这条核心逻辑，也让科学食养从政策文件真正落到每日餐桌。</w:t>
      </w:r>
    </w:p>
    <w:p w14:paraId="6E59B650">
      <w:pPr>
        <w:numPr>
          <w:numId w:val="0"/>
        </w:numPr>
        <w:bidi w:val="0"/>
        <w:rPr>
          <w:rFonts w:hint="eastAsia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</w:rPr>
        <w:t>未来展望</w:t>
      </w:r>
    </w:p>
    <w:p w14:paraId="756BF5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 w:cs="宋体"/>
          <w:lang w:val="en-US" w:eastAsia="zh-CN"/>
        </w:rPr>
        <w:t>小膳管家走务实路线：先把单点决策做准，再开放为服务，最终成为被平台调用的决策能力层；不做平台与重资产，只嵌入现有服务网络。定位始终是“受确定性护栏约束的决策层”。近期（1-2年）把决策做准做深：本地化上，在高德地图上把点单红线从“按菜系推断”细化到“逐菜核对”，在外对着菜单逐道标出能不能点、并说明原因；知识上，在27份国家文件基础上扩展到罕见病；记忆上，把体检报告接入私有语料，减少重复提问。中期（2-3年）从工具转向服务，重点是开放能力、不做履约：通过API与生鲜、外卖平台合作，输出筛选规则与点单红线，合规餐品由平台筛选，资质与食安责任由持证主体和平台承担，我们不碰后厨、不做派单与支付；同时嵌入本地生活平台，输出人厨匹配与食养菜谱SOP，支持家庭共享Agent。远期（3-5年）走向基础设施：连接动态血糖仪等可穿戴设备，餐前发现血糖异常就提醒并调整当餐搭配；构建动态知识图谱，支持指南更新，营养师可自定义规则，规则由人定、由代码执行，不交给模型自由生成；打通在家、外出、差旅全场景，异地也能拿到当地饮食指引。全程坚持透明可追溯，当前版本已落地（图片标注、建议附出处）。最终像水电网络一样融入日常，成为守护每一口食物的底层决策能力。</w:t>
      </w:r>
    </w:p>
    <w:p w14:paraId="17F5E9A4">
      <w:pPr>
        <w:pStyle w:val="2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  <w:bookmarkStart w:id="41" w:name="_Toc32758"/>
      <w:bookmarkStart w:id="42" w:name="_Toc2819"/>
      <w:r>
        <w:rPr>
          <w:rFonts w:hint="eastAsia" w:ascii="黑体" w:hAnsi="黑体" w:eastAsia="黑体" w:cs="黑体"/>
          <w:lang w:val="en-US" w:eastAsia="zh-CN"/>
        </w:rPr>
        <w:t>附录</w:t>
      </w:r>
      <w:bookmarkEnd w:id="41"/>
      <w:bookmarkEnd w:id="42"/>
    </w:p>
    <w:p w14:paraId="318362EF">
      <w:pPr>
        <w:pStyle w:val="3"/>
        <w:bidi w:val="0"/>
        <w:ind w:left="0" w:leftChars="0" w:firstLine="0" w:firstLineChars="0"/>
      </w:pPr>
      <w:bookmarkStart w:id="43" w:name="_Toc12208"/>
      <w:r>
        <w:rPr>
          <w:rFonts w:hint="eastAsia"/>
        </w:rPr>
        <w:t>代码与模型</w:t>
      </w:r>
      <w:bookmarkEnd w:id="43"/>
    </w:p>
    <w:p w14:paraId="42D9959B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本作品按“可运行源码、关键算法代码、模型配置、说明文档、复现脚本”五类材料提交。提交版本对应 commit 1903649（codex/frontend-backend-fusion）。代码包包含后端、前端、知识库构建、自动化测试和运行文档；关键算法代码均为关键路径节选，完整实现见对应源码文件与函数。项目未训练或微调模型，不包含自训练权重；第三方模型通过固定模型标识、环境变量、下载或缓存脚本以及本地目录配置进行交付。</w:t>
      </w:r>
    </w:p>
    <w:p w14:paraId="065E47A5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textAlignment w:val="auto"/>
        <w:rPr>
          <w:rFonts w:hint="eastAsia" w:ascii="宋体" w:hAnsi="宋体"/>
          <w:lang w:val="en-US" w:eastAsia="zh-CN"/>
        </w:rPr>
      </w:pPr>
      <w:bookmarkStart w:id="44" w:name="_Toc16734"/>
      <w:r>
        <w:rPr>
          <w:rFonts w:hint="eastAsia"/>
          <w:sz w:val="24"/>
          <w:szCs w:val="24"/>
          <w:lang w:val="en-US" w:eastAsia="zh-CN"/>
        </w:rPr>
        <w:t>3.1代码组成</w:t>
      </w:r>
      <w:bookmarkEnd w:id="44"/>
    </w:p>
    <w:p w14:paraId="4668B702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（1）</w:t>
      </w:r>
      <w:r>
        <w:rPr>
          <w:rFonts w:hint="eastAsia" w:ascii="宋体" w:hAnsi="宋体"/>
          <w:sz w:val="24"/>
          <w:lang w:val="en-US" w:eastAsia="zh-CN"/>
        </w:rPr>
        <w:t>agent/graph.py：LangGraph 决策中枢，共 13 个节点，包括 condense_history、ingredient_gate、ingredient_confirm、profile_gate、ask_user、requested_dish_gate、chef_think、run_tools、tool_budget_finalize、verify_answer、allergen_block、structure_answer、profile_memory。</w:t>
      </w:r>
    </w:p>
    <w:p w14:paraId="1ADF8DBD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（2）</w:t>
      </w:r>
      <w:r>
        <w:rPr>
          <w:rFonts w:hint="eastAsia" w:ascii="宋体" w:hAnsi="宋体"/>
          <w:sz w:val="24"/>
          <w:lang w:val="en-US" w:eastAsia="zh-CN"/>
        </w:rPr>
        <w:t>domain/nutrition_rules.py：确定性硬禁忌规则引擎，覆盖高血压、痛风、糖尿病、慢性肾脏病、高脂血症和肥胖，每条规则均绑定国家级食养指南及具体页码。domain/allergen_rules.py、domain/constraint_rules.py 负责过敏原、慢病和家庭成员约束的作用域计算。</w:t>
      </w:r>
    </w:p>
    <w:p w14:paraId="6CC70034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（3）</w:t>
      </w:r>
      <w:r>
        <w:rPr>
          <w:rFonts w:hint="eastAsia" w:ascii="宋体" w:hAnsi="宋体"/>
          <w:sz w:val="24"/>
          <w:lang w:val="en-US" w:eastAsia="zh-CN"/>
        </w:rPr>
        <w:t>rag/ingest.py、indexing/parser_router.py、rag/retriever.py、rag/store.py：完成 PDF 解析路由、页码锚定切片、向量化、混合检索、重排和 Chroma 存取。</w:t>
      </w:r>
    </w:p>
    <w:p w14:paraId="54F1A866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（4）</w:t>
      </w:r>
      <w:r>
        <w:rPr>
          <w:rFonts w:hint="eastAsia" w:ascii="宋体" w:hAnsi="宋体"/>
          <w:sz w:val="24"/>
          <w:lang w:val="en-US" w:eastAsia="zh-CN"/>
        </w:rPr>
        <w:t>agent_tools/：向 LLM 暴露 7 个工具，包括 web_search、get_file、nearby_food、nutrition_kb_search、healthy_remix、fridge_gap、find_recipes_from_inventory。query_fridge_inventory 与 query_weekly_report 保留为接口，但当前不进入 LLM 工具集。</w:t>
      </w:r>
    </w:p>
    <w:p w14:paraId="5D46A519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（5）</w:t>
      </w:r>
      <w:r>
        <w:rPr>
          <w:rFonts w:hint="eastAsia" w:ascii="宋体" w:hAnsi="宋体"/>
          <w:sz w:val="24"/>
          <w:lang w:val="en-US" w:eastAsia="zh-CN"/>
        </w:rPr>
        <w:t>agent/schemas.py：定义结构化回答模型，ChefAnswer.sources 保存文件名、章节和原文片段，使权威依据可进入结构化卡片。</w:t>
      </w:r>
    </w:p>
    <w:p w14:paraId="4C2630EC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（6）</w:t>
      </w:r>
      <w:r>
        <w:rPr>
          <w:rFonts w:hint="eastAsia" w:ascii="宋体" w:hAnsi="宋体"/>
          <w:sz w:val="24"/>
          <w:lang w:val="en-US" w:eastAsia="zh-CN"/>
        </w:rPr>
        <w:t>domain/dish_nutrition.py：根据菜谱中的实际用料和克数确定性计算营养值与能量，并依据 energy_kcal 使用固定系数换算快走、骑车和慢跑分钟数，不由生成模型自行填写营养或运动数字。</w:t>
      </w:r>
    </w:p>
    <w:p w14:paraId="66513C31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bookmarkStart w:id="45" w:name="_Toc10531"/>
      <w:r>
        <w:rPr>
          <w:rFonts w:hint="eastAsia"/>
          <w:sz w:val="24"/>
          <w:szCs w:val="24"/>
          <w:lang w:val="en-US" w:eastAsia="zh-CN"/>
        </w:rPr>
        <w:t>3.2关键算法代码</w:t>
      </w:r>
      <w:bookmarkEnd w:id="45"/>
    </w:p>
    <w:p w14:paraId="2EF52A5A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（1）</w:t>
      </w:r>
      <w:r>
        <w:rPr>
          <w:rFonts w:hint="eastAsia" w:ascii="宋体" w:hAnsi="宋体"/>
          <w:sz w:val="24"/>
          <w:lang w:val="en-US" w:eastAsia="zh-CN"/>
        </w:rPr>
        <w:t>确定性硬禁忌审计。代码只从固定规则表读取禁忌词，并区分“少放盐”“加两勺盐”“不吃花生”等语境：</w:t>
      </w:r>
    </w:p>
    <w:p w14:paraId="0CF17028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def audit(text: str, conditions: list[str]) -&gt; list[dict]:</w:t>
      </w:r>
    </w:p>
    <w:p w14:paraId="43CA035E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text = text or ""</w:t>
      </w:r>
    </w:p>
    <w:p w14:paraId="305A9F9C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violations, seen = [], set()</w:t>
      </w:r>
    </w:p>
    <w:p w14:paraId="50F25442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for cond in conditions:</w:t>
      </w:r>
    </w:p>
    <w:p w14:paraId="5D2BEB97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rule = RULES.get(cond)</w:t>
      </w:r>
    </w:p>
    <w:p w14:paraId="519F5049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if not rule:</w:t>
      </w:r>
    </w:p>
    <w:p w14:paraId="63E5C2FE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continue</w:t>
      </w:r>
    </w:p>
    <w:p w14:paraId="5807BFAC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for kw in rule.get("forbidden", []):</w:t>
      </w:r>
    </w:p>
    <w:p w14:paraId="4F139BC8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if _has_unqualified_occurrence(text, kw) and (cond, kw) not in seen:</w:t>
      </w:r>
    </w:p>
    <w:p w14:paraId="70DF5561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seen.add((cond, kw))</w:t>
      </w:r>
    </w:p>
    <w:p w14:paraId="50C3A05A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violations.append({</w:t>
      </w:r>
    </w:p>
    <w:p w14:paraId="4A3D3F69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    "condition": cond,</w:t>
      </w:r>
    </w:p>
    <w:p w14:paraId="27190015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    "keyword": kw,</w:t>
      </w:r>
    </w:p>
    <w:p w14:paraId="1FC880FB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    "message": rule["message"],</w:t>
      </w:r>
    </w:p>
    <w:p w14:paraId="054CAD4E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    "source": rule["source"],</w:t>
      </w:r>
    </w:p>
    <w:p w14:paraId="2B088D68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})</w:t>
      </w:r>
    </w:p>
    <w:p w14:paraId="2C6A4805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return violations</w:t>
      </w:r>
    </w:p>
    <w:p w14:paraId="675AD8BC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该函数在自由正文审计、结构化结果复核和候选菜过滤等节点复用。规则命中结果包含 source，可直接回溯至指南名称和页码。</w:t>
      </w:r>
    </w:p>
    <w:p w14:paraId="6CA37128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（2）</w:t>
      </w:r>
      <w:r>
        <w:rPr>
          <w:rFonts w:hint="eastAsia" w:ascii="宋体" w:hAnsi="宋体"/>
          <w:sz w:val="24"/>
          <w:lang w:val="en-US" w:eastAsia="zh-CN"/>
        </w:rPr>
        <w:t>审计结果路由。verify_route 的返回值直接决定 LangGraph 条件边，安全终态优先于普通收口：</w:t>
      </w:r>
    </w:p>
    <w:p w14:paraId="5F68BE97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def verify_route(state) -&gt; str:</w:t>
      </w:r>
    </w:p>
    <w:p w14:paraId="27540EA9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status = state.get("verify_status", "ok")</w:t>
      </w:r>
    </w:p>
    <w:p w14:paraId="27D0CDC5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if status in ("blocked", "retry"):</w:t>
      </w:r>
    </w:p>
    <w:p w14:paraId="179877B0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return status</w:t>
      </w:r>
    </w:p>
    <w:p w14:paraId="25C5C43F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if is_plain_information_turn(state):</w:t>
      </w:r>
    </w:p>
    <w:p w14:paraId="65DC1B6B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return "plain"</w:t>
      </w:r>
    </w:p>
    <w:p w14:paraId="0758D3F7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return status</w:t>
      </w:r>
    </w:p>
    <w:p w14:paraId="210CD6B6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其中 ok 表示通过，degraded 表示放行并附加警示，retry 表示退回重新生成，blocked 表示硬阻断。</w:t>
      </w:r>
    </w:p>
    <w:p w14:paraId="4A68B24D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（3）</w:t>
      </w:r>
      <w:r>
        <w:rPr>
          <w:rFonts w:hint="eastAsia" w:ascii="宋体" w:hAnsi="宋体"/>
          <w:sz w:val="24"/>
          <w:lang w:val="en-US" w:eastAsia="zh-CN"/>
        </w:rPr>
        <w:t xml:space="preserve"> 页码锚定。切片只在页码真实存在时写入 _pN 锚点，无法取得页码时使用 _cN 片段锚点，避免把物理顺序冒充印刷页码：</w:t>
      </w:r>
    </w:p>
    <w:p w14:paraId="6FE228E9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page_numbers = _extract_page_numbers(child_text)</w:t>
      </w:r>
    </w:p>
    <w:p w14:paraId="2E2FBF16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page_start = min(page_numbers) if page_numbers else None</w:t>
      </w:r>
    </w:p>
    <w:p w14:paraId="00B47345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child_clean = _strip_page_markers(child_text)</w:t>
      </w:r>
    </w:p>
    <w:p w14:paraId="13D601EB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anchor = (</w:t>
      </w:r>
    </w:p>
    <w:p w14:paraId="53D80234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f"{path.name}_p{page_start}"</w:t>
      </w:r>
    </w:p>
    <w:p w14:paraId="35D7C695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if page_start is not None</w:t>
      </w:r>
    </w:p>
    <w:p w14:paraId="10612148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else f"{path.name}_c{chunk_index}"</w:t>
      </w:r>
    </w:p>
    <w:p w14:paraId="06785E67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)</w:t>
      </w:r>
    </w:p>
    <w:p w14:paraId="6C44F8AA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textAlignment w:val="auto"/>
        <w:rPr>
          <w:rFonts w:hint="eastAsia" w:ascii="宋体" w:hAnsi="宋体"/>
          <w:sz w:val="24"/>
          <w:lang w:val="en-US" w:eastAsia="zh-CN"/>
        </w:rPr>
      </w:pPr>
      <w:bookmarkStart w:id="46" w:name="_Toc1947"/>
      <w:r>
        <w:rPr>
          <w:rFonts w:hint="eastAsia"/>
          <w:sz w:val="24"/>
          <w:szCs w:val="24"/>
          <w:lang w:val="en-US" w:eastAsia="zh-CN"/>
        </w:rPr>
        <w:t>3.3模型与语料</w:t>
      </w:r>
      <w:bookmarkEnd w:id="46"/>
    </w:p>
    <w:p w14:paraId="2AAE6697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（1）</w:t>
      </w:r>
      <w:r>
        <w:rPr>
          <w:rFonts w:hint="eastAsia" w:ascii="宋体" w:hAnsi="宋体"/>
          <w:sz w:val="24"/>
          <w:lang w:val="en-US" w:eastAsia="zh-CN"/>
        </w:rPr>
        <w:t>对话与结构化生成使用 deepseek-chat；视觉审核和食材识别使用 qwen3-vl-235b-a22b-instruct；文生图使用 wanx2.1-t2i-turbo；语音识别使用 paraformer-v2。</w:t>
      </w:r>
    </w:p>
    <w:p w14:paraId="3C8BF8DF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（2）</w:t>
      </w:r>
      <w:r>
        <w:rPr>
          <w:rFonts w:hint="eastAsia" w:ascii="宋体" w:hAnsi="宋体"/>
          <w:sz w:val="24"/>
          <w:lang w:val="en-US" w:eastAsia="zh-CN"/>
        </w:rPr>
        <w:t>中文向量化使用 BAAI/bge-small-zh-v1.5，检索重排使用 BAAI/bge-reranker-v2-m3，两者均在本地运行。</w:t>
      </w:r>
    </w:p>
    <w:p w14:paraId="57F39B42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（3）</w:t>
      </w:r>
      <w:r>
        <w:rPr>
          <w:rFonts w:hint="eastAsia" w:ascii="宋体" w:hAnsi="宋体"/>
          <w:sz w:val="24"/>
          <w:lang w:val="en-US" w:eastAsia="zh-CN"/>
        </w:rPr>
        <w:t>模型标识固定在 .env.example 中，Python 依赖由 uv.lock 锁定；scripts/download_bge.py 用于预下载 BAAI/bge-small-zh-v1.5。重排模型 BAAI/bge-reranker-v2-m3 在首次检索时自动缓存，也可通过 KB_RERANK_MODEL 指向本地模型目录，以支持离线加载。</w:t>
      </w:r>
    </w:p>
    <w:p w14:paraId="3602B3F9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（4）</w:t>
      </w:r>
      <w:r>
        <w:rPr>
          <w:rFonts w:hint="eastAsia" w:ascii="宋体" w:hAnsi="宋体"/>
          <w:sz w:val="24"/>
          <w:lang w:val="en-US" w:eastAsia="zh-CN"/>
        </w:rPr>
        <w:t>仓库不包含模型权重文件。API 模型通过配置密钥和服务地址调用，不随代码包分发；两个 BGE 模型也不在仓库内保存权重。</w:t>
      </w:r>
    </w:p>
    <w:p w14:paraId="39F638BD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（5）</w:t>
      </w:r>
      <w:r>
        <w:rPr>
          <w:rFonts w:hint="eastAsia" w:ascii="宋体" w:hAnsi="宋体"/>
          <w:sz w:val="24"/>
          <w:lang w:val="en-US" w:eastAsia="zh-CN"/>
        </w:rPr>
        <w:t>语料包含 27 份官方文件，切片长度 1200 字符、重叠 120 字符，共生成 1435 个 chunk，写入 Chroma 集合 dietary_kb。</w:t>
      </w:r>
    </w:p>
    <w:p w14:paraId="39F638BD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（6）仓库因版权不直接提交 kb/**/*.pdf，也不提交可重建的 kb/chroma；本次竞赛提交包另附完整 27 份源文件。仅拉取 GitHub 仓库时，需先把同一目录结构、文件名一致的 27 份 PDF 放回 kb/，再执行建库脚本重建 1435 个 chunk。</w:t>
      </w:r>
    </w:p>
    <w:p w14:paraId="785B1CC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lang w:val="en-US" w:eastAsia="zh-CN"/>
        </w:rPr>
      </w:pPr>
      <w:bookmarkStart w:id="47" w:name="_Toc9802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3.4复现说明</w:t>
      </w:r>
      <w:bookmarkEnd w:id="47"/>
    </w:p>
    <w:p w14:paraId="6B506450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（1）</w:t>
      </w:r>
      <w:r>
        <w:rPr>
          <w:rFonts w:hint="eastAsia" w:ascii="宋体" w:hAnsi="宋体"/>
          <w:sz w:val="24"/>
          <w:lang w:val="en-US" w:eastAsia="zh-CN"/>
        </w:rPr>
        <w:t>环境：Python 3.13，执行 uv sync 安装依赖。</w:t>
      </w:r>
    </w:p>
    <w:p w14:paraId="74C01E44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（2）</w:t>
      </w:r>
      <w:r>
        <w:rPr>
          <w:rFonts w:hint="eastAsia" w:ascii="宋体" w:hAnsi="宋体"/>
          <w:sz w:val="24"/>
          <w:lang w:val="en-US" w:eastAsia="zh-CN"/>
        </w:rPr>
        <w:t>配置：复制根目录 .env.example 为 .env，填写 DEEPSEEK_API_KEY、DASHSCOPE_API_KEY、TAVILY_API_KEY 与 AMAP_KEY；进入 frontend/web 后复制 .env.example 为 .env，填写 VITE_AMAP_JS_KEY 与 VITE_AMAP_SECURITY_CODE。后端 AMAP_KEY 用于附近餐厅 POI 检索，两个前端值用于地图展示和导航，两类凭证不能互相替代；缺少地图凭证时，后端 nearby_food 回退到 mock 数据，前端不显示真实地图标记。其余配置留空不影响本地基础运行。</w:t>
      </w:r>
    </w:p>
    <w:p w14:paraId="3811C167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（3）</w:t>
      </w:r>
      <w:r>
        <w:rPr>
          <w:rFonts w:hint="eastAsia" w:ascii="宋体" w:hAnsi="宋体"/>
          <w:sz w:val="24"/>
          <w:lang w:val="en-US" w:eastAsia="zh-CN"/>
        </w:rPr>
        <w:t>建库：执行 uv run python scripts/build_kb_rag.py，可选 --contextual 生成上下文前缀，产物写入 kb/chroma。</w:t>
      </w:r>
    </w:p>
    <w:p w14:paraId="307BA6A0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（4）</w:t>
      </w:r>
      <w:r>
        <w:rPr>
          <w:rFonts w:hint="eastAsia" w:ascii="宋体" w:hAnsi="宋体"/>
          <w:sz w:val="24"/>
          <w:lang w:val="en-US" w:eastAsia="zh-CN"/>
        </w:rPr>
        <w:t>启动：后端执行 uv run python run.py，默认地址为 127.0.0.1:8010；前端进入 frontend/web 后执行 npm run dev，默认地址为 localhost:5178。</w:t>
      </w:r>
    </w:p>
    <w:p w14:paraId="4B535A4F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（5）</w:t>
      </w:r>
      <w:r>
        <w:rPr>
          <w:rFonts w:hint="eastAsia" w:ascii="宋体" w:hAnsi="宋体"/>
          <w:sz w:val="24"/>
          <w:lang w:val="en-US" w:eastAsia="zh-CN"/>
        </w:rPr>
        <w:t>验证：在 commit 1903649 上执行 uv run python tests/run_all.py 和 uv run python scripts/smoke.py。本次提交版本实测 1080 个用例、1074 个通过、0 失败、6 个跳过；5 个确定性冒烟场景全部通过。</w:t>
      </w:r>
    </w:p>
    <w:p w14:paraId="75B0055C">
      <w:pPr>
        <w:pStyle w:val="6"/>
        <w:numPr>
          <w:ilvl w:val="0"/>
          <w:numId w:val="0"/>
        </w:numPr>
        <w:spacing w:line="240" w:lineRule="auto"/>
        <w:jc w:val="left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（6）</w:t>
      </w:r>
      <w:r>
        <w:rPr>
          <w:rFonts w:hint="eastAsia" w:ascii="宋体" w:hAnsi="宋体"/>
          <w:sz w:val="24"/>
          <w:lang w:val="en-US" w:eastAsia="zh-CN"/>
        </w:rPr>
        <w:t>知识库首次预热约 58 至 85 秒，应等待 /api/health/ready 返回 200 后再发送请求。</w:t>
      </w:r>
    </w:p>
    <w:p w14:paraId="4EB24580">
      <w:pPr>
        <w:pStyle w:val="6"/>
        <w:numPr>
          <w:ilvl w:val="0"/>
          <w:numId w:val="0"/>
        </w:numPr>
        <w:spacing w:line="240" w:lineRule="auto"/>
        <w:jc w:val="left"/>
        <w:rPr>
          <w:rFonts w:hint="default" w:ascii="宋体" w:hAnsi="宋体" w:eastAsia="宋体" w:cs="Times New Roman"/>
          <w:b/>
          <w:kern w:val="2"/>
          <w:sz w:val="28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b/>
          <w:kern w:val="2"/>
          <w:sz w:val="28"/>
          <w:szCs w:val="24"/>
          <w:lang w:val="en-US" w:eastAsia="zh-CN" w:bidi="ar-SA"/>
        </w:rPr>
        <w:t>2.参考</w:t>
      </w:r>
      <w:r>
        <w:rPr>
          <w:rFonts w:hint="eastAsia" w:ascii="宋体" w:hAnsi="宋体" w:cs="Times New Roman"/>
          <w:b/>
          <w:kern w:val="2"/>
          <w:sz w:val="28"/>
          <w:szCs w:val="24"/>
          <w:lang w:val="en-US" w:eastAsia="zh-CN" w:bidi="ar-SA"/>
        </w:rPr>
        <w:t>文献</w:t>
      </w:r>
    </w:p>
    <w:p w14:paraId="257DCC3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[1]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国家卫生健康委员会. 中国居民营养与慢性病状况报告(2020年)[R]. 北京: 人民卫生出版社, 2020.</w:t>
      </w:r>
    </w:p>
    <w:p w14:paraId="728B3FB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[2]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雷海潮. 加快建设健康中国——访国家卫生健康委党组书记、主任雷海潮[N]. 人民日报, 2026-07-31.</w:t>
      </w:r>
    </w:p>
    <w:p w14:paraId="0777C53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[3]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GBD 2016 Risk Factors Collaborators. Global, regional, and national comparative risk assessment of 79 behavioural, environmental and occupational, and metabolic risks or clusters of risks, 1990-2016: a systematic analysis for the Global Burden of Disease Study 2016[J]. The Lancet, 2017, 390(10100): 1345-1422.</w:t>
      </w:r>
    </w:p>
    <w:p w14:paraId="55E1D15E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[4]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Microsoft. Stop Letting Agents Run the Workflow[EB/OL]. [2026-10-08]. </w:t>
      </w:r>
      <w:r/>
      <w:r/>
      <w:r/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  <w:t>https://techcommunity.microsoft.com/blog/azure-ai-foundry-blog/stop-letting-agents-run-the-workflow/4550068</w:t>
      </w:r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>.</w:t>
      </w:r>
    </w:p>
    <w:p w14:paraId="0AD8E50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[5]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Anthropic. Building Effective Agents[EB/OL]. (2024-12-19)[2026-10-08]. </w:t>
      </w:r>
      <w:r/>
      <w:r/>
      <w:r/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  <w:t>https://www.anthropic.com/engineering/building-effective-agents</w:t>
      </w:r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>.</w:t>
      </w:r>
    </w:p>
    <w:p w14:paraId="7343444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[6]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Lewis P, Perez E, Piktus A, et al. Retrieval-Augmented Generation for Knowledge-Intensive NLP Tasks[C]//Proceedings of the 34th International Conference on Neural Information Processing Systems (NeurIPS 2020). Red Hook: Curran Associates Inc., 2020: 9459-9474.</w:t>
      </w:r>
    </w:p>
    <w:p w14:paraId="0A5244B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[7]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中国营养学会. 中国居民膳食指南(2022)[M]. 北京: 人民卫生出版社, 2022.</w:t>
      </w:r>
    </w:p>
    <w:p w14:paraId="4650C00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[8] 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>国家卫生健康委员会, 国家市场监督管理总局. GB 7718—2025 食品安全国家标准 预包装食品标签通则[S]. 北京: 中国标准出版社, 2025.</w:t>
      </w:r>
    </w:p>
    <w:p w14:paraId="5B67B231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[9]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国家卫生健康委员会, 国家市场监督管理总局. GB 28050—2025 食品安全国家标准 预包装食品营养标签通则[S]. 北京: 中国标准出版社, 2025.</w:t>
      </w:r>
    </w:p>
    <w:p w14:paraId="0E7D5DF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[10]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Saltzer J H, Schroeder M D. The Protection of Information in Computer Systems[J]. Proceedings of the IEEE, 1975, 63(9): 1278-1308.</w:t>
      </w:r>
    </w:p>
    <w:p w14:paraId="16A9FF77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[11]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Rebedea T, Dinu R, Sreedhar M, et al. NeMo Guardrails: A Toolkit for Controllable and Safe LLM Applications with Programmable Rails[EB/OL]. (2023-10-16)[2026-10-08]. </w:t>
      </w:r>
      <w:r/>
      <w:r/>
      <w:r/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  <w:t>https://arxiv.org/abs/2310.10501</w:t>
      </w:r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r>
    </w:p>
    <w:p w14:paraId="30DC7786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[12]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Cemri M, Pan M Z, Yang S, et al. Why Do Multi-Agent LLM Systems Fail?[EB/OL]. (2025-03-17)[2026-10-08]. </w:t>
      </w:r>
      <w:r/>
      <w:r/>
      <w:r/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  <w:t>https://arxiv.org/abs/2503.13657</w:t>
      </w:r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r>
    </w:p>
    <w:p w14:paraId="7579E86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[13]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Packer C, Wooders S, Lin K, et al. MemGPT: Towards LLMs as Operating Systems[EB/OL]. (2023-10-12)[2026-10-08]. </w:t>
      </w:r>
      <w:r/>
      <w:r/>
      <w:r/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  <w:t>https://arxiv.org/abs/2310.08560</w:t>
      </w:r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>.</w:t>
      </w:r>
    </w:p>
    <w:p w14:paraId="15BB879D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[14]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Park J S, O'Brien J C, Cai C J, et al. Generative Agents: Interactive Simulacra of Human Behavior[EB/OL]. (2023-04-07)[2026-10-08]. </w:t>
      </w:r>
      <w:r/>
      <w:r/>
      <w:r/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  <w:t>https://arxiv.org/abs/2304.03442</w:t>
      </w:r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r>
    </w:p>
    <w:p w14:paraId="311AA5CB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[15]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全国信息安全标准化技术委员会. GB 45438—2025 网络安全技术 人工智能生成合成内容标识方法[S]. 北京: 中国标准出版社, 2025.</w:t>
      </w:r>
    </w:p>
    <w:p w14:paraId="6C4EEBE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[16]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国家互联网信息办公室, 工业和信息化部, 公安部, 国家广播电视总局. 人工智能生成合成内容标识办法[Z]. 2025.</w:t>
      </w:r>
    </w:p>
    <w:p w14:paraId="1EB24B1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[17]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National Institute of Standards and Technology. NIST AI 100-4 Reducing Risks Posed by Synthetic Content: An Overview of Technical Approaches to Digital Content Transparency[R]. Gaithersburg: NIST, 2024.</w:t>
      </w:r>
    </w:p>
    <w:p w14:paraId="33AAE56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[18]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Ji Z, Lee N, Frieske R, et al. Survey of Hallucination in Natural Language Generation[J]. ACM Computing Surveys, 2023, 55(12): 1-38. </w:t>
      </w:r>
      <w:r/>
      <w:r/>
      <w:r/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  <w:t>DOI:10.1145/3571730</w:t>
      </w:r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>.</w:t>
      </w:r>
    </w:p>
    <w:p w14:paraId="6287BA28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cs="Times New Roman"/>
          <w:b w:val="0"/>
          <w:bCs/>
          <w:kern w:val="2"/>
          <w:sz w:val="24"/>
          <w:szCs w:val="24"/>
          <w:lang w:val="en-US" w:eastAsia="zh-CN" w:bidi="ar-SA"/>
        </w:rPr>
        <w:t>[19]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Microsoft. Agent Framework Documentation[EB/OL]. [2026-10-08]. </w:t>
      </w:r>
      <w:r/>
      <w:r/>
      <w:r/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  <w:t>https://learn.microsoft.com/en-us/agent-framework/</w:t>
      </w:r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>.</w:t>
      </w:r>
    </w:p>
    <w:p w14:paraId="0407CA63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宋体" w:hAnsi="宋体" w:cs="Times New Roman"/>
          <w:b w:val="0"/>
          <w:bCs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20</w:t>
      </w:r>
      <w:r>
        <w:rPr>
          <w:rFonts w:hint="default" w:ascii="宋体" w:hAnsi="宋体" w:eastAsia="宋体" w:cs="Times New Roman"/>
          <w:b w:val="0"/>
          <w:bCs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宋体" w:hAnsi="宋体" w:eastAsia="宋体" w:cs="Times New Roman"/>
          <w:b w:val="0"/>
          <w:bCs/>
          <w:color w:val="0000FF"/>
          <w:kern w:val="2"/>
          <w:sz w:val="24"/>
          <w:szCs w:val="24"/>
          <w:highlight w:val="none"/>
          <w:lang w:val="en-US" w:eastAsia="zh-CN" w:bidi="ar-SA"/>
        </w:rPr>
        <w:t xml:space="preserve"> 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>国家互联网信息办公室, 国家发展和改革委员会, 教育部, 科学技术部, 工业和信息化部, 公安部, 国家广播电视总局. 生成式人工智能服务管理暂行办法[Z]. 2023</w:t>
      </w:r>
    </w:p>
    <w:p w14:paraId="7F12CC6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宋体" w:hAnsi="宋体" w:cs="Times New Roman"/>
          <w:b w:val="0"/>
          <w:bCs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21</w:t>
      </w:r>
      <w:r>
        <w:rPr>
          <w:rFonts w:hint="default" w:ascii="宋体" w:hAnsi="宋体" w:eastAsia="宋体" w:cs="Times New Roman"/>
          <w:b w:val="0"/>
          <w:bCs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宋体" w:hAnsi="宋体" w:eastAsia="宋体" w:cs="Times New Roman"/>
          <w:b w:val="0"/>
          <w:b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International Organization for Standardization. ISO/IEC 42001:2023 Infor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>mation technology — Artificial intelligence — Management system[S]. Geneva: ISO, 2023</w:t>
      </w:r>
    </w:p>
    <w:p w14:paraId="24F8CAFC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[</w:t>
      </w:r>
      <w:r>
        <w:rPr>
          <w:rFonts w:hint="eastAsia" w:ascii="宋体" w:hAnsi="宋体" w:eastAsia="宋体" w:cs="Times New Roman"/>
          <w:b w:val="0"/>
          <w:bCs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22</w:t>
      </w:r>
      <w:r>
        <w:rPr>
          <w:rFonts w:hint="default" w:ascii="宋体" w:hAnsi="宋体" w:eastAsia="宋体" w:cs="Times New Roman"/>
          <w:b w:val="0"/>
          <w:bCs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United Nations Environment Programme. Food Waste Index Report 2024[R]. Nairobi: UNEP, 2024.</w:t>
      </w:r>
    </w:p>
    <w:p w14:paraId="24F06F69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highlight w:val="none"/>
          <w:lang w:val="en-US" w:eastAsia="zh-CN" w:bidi="ar-SA"/>
        </w:rPr>
        <w:t>[</w:t>
      </w:r>
      <w:r>
        <w:rPr>
          <w:rFonts w:hint="eastAsia" w:ascii="宋体" w:hAnsi="宋体" w:eastAsia="宋体" w:cs="Times New Roman"/>
          <w:b w:val="0"/>
          <w:bCs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23</w:t>
      </w:r>
      <w:r>
        <w:rPr>
          <w:rFonts w:hint="default" w:ascii="宋体" w:hAnsi="宋体" w:eastAsia="宋体" w:cs="Times New Roman"/>
          <w:b w:val="0"/>
          <w:bCs/>
          <w:color w:val="000000" w:themeColor="text1"/>
          <w:kern w:val="2"/>
          <w:sz w:val="24"/>
          <w:szCs w:val="24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琚腊红, 赵丽云, 魏潇琪, 等. 中国0~5岁儿童食物过敏流行现况及影响因素分析[J]. 中华流行病学杂志, 2024, 45(6): 817-823. </w:t>
      </w:r>
      <w:r/>
      <w:r/>
      <w:r/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  <w:t>DOI:10.3760/cma.j.cn112338-20231201-00329</w:t>
      </w:r>
      <w:r>
        <w:rPr>
          <w:rFonts w:hint="default" w:ascii="宋体" w:hAnsi="宋体" w:eastAsia="宋体" w:cs="Times New Roman"/>
          <w:b w:val="0"/>
          <w:bCs/>
          <w:color w:val="0563C1"/>
          <w:kern w:val="2"/>
          <w:sz w:val="24"/>
          <w:szCs w:val="24"/>
          <w:u w:val="single"/>
          <w:lang w:val="en-US" w:eastAsia="zh-CN" w:bidi="ar-SA"/>
        </w:rPr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>.</w:t>
      </w:r>
    </w:p>
    <w:p w14:paraId="3F9F4BF2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/>
          <w:b/>
          <w:sz w:val="28"/>
          <w:lang w:val="en-US" w:eastAsia="zh-CN"/>
        </w:rPr>
      </w:pP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highlight w:val="none"/>
          <w:lang w:val="en-US" w:eastAsia="zh-CN" w:bidi="ar-SA"/>
        </w:rPr>
        <w:t>[</w:t>
      </w:r>
      <w:r>
        <w:rPr>
          <w:rFonts w:hint="eastAsia" w:ascii="宋体" w:hAnsi="宋体" w:cs="Times New Roman"/>
          <w:b w:val="0"/>
          <w:bCs/>
          <w:kern w:val="2"/>
          <w:sz w:val="24"/>
          <w:szCs w:val="24"/>
          <w:highlight w:val="none"/>
          <w:lang w:val="en-US" w:eastAsia="zh-CN" w:bidi="ar-SA"/>
        </w:rPr>
        <w:t>24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highlight w:val="none"/>
          <w:lang w:val="en-US" w:eastAsia="zh-CN" w:bidi="ar-SA"/>
        </w:rPr>
        <w:t>]</w:t>
      </w:r>
      <w:r>
        <w:rPr>
          <w:rFonts w:hint="default" w:ascii="宋体" w:hAnsi="宋体" w:eastAsia="宋体" w:cs="Times New Roman"/>
          <w:b w:val="0"/>
          <w:bCs/>
          <w:kern w:val="2"/>
          <w:sz w:val="24"/>
          <w:szCs w:val="24"/>
          <w:lang w:val="en-US" w:eastAsia="zh-CN" w:bidi="ar-SA"/>
        </w:rPr>
        <w:t xml:space="preserve"> National Institute of Standards and Technology. NIST AI 600-1 Artificial Intelligence Risk Management Framework: Generative Artificial Intelligence Profile[R]. Gaithersburg: NIST, 2024.</w:t>
      </w:r>
    </w:p>
    <w:sectPr>
      <w:footerReference r:id="rId10" w:type="default"/>
      <w:pgSz w:w="11906" w:h="16838"/>
      <w:pgMar w:top="1417" w:right="1701" w:bottom="1417" w:left="1701" w:header="850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rtlGutter w:val="0"/>
      <w:docGrid w:type="lines" w:linePitch="33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Han Serif SC Heavy">
    <w:panose1 w:val="02020A00000000000000"/>
    <w:charset w:val="86"/>
    <w:family w:val="auto"/>
    <w:pitch w:val="default"/>
    <w:sig w:usb0="B00002BF" w:usb1="10000000" w:usb2="00000016" w:usb3="00000000" w:csb0="402E0001" w:csb1="D1D60000"/>
  </w:font>
  <w:font w:name="Son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57299">
    <w:pPr>
      <w:tabs>
        <w:tab w:val="center" w:pos="4153"/>
        <w:tab w:val="right" w:pos="8306"/>
      </w:tabs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5B5D7">
    <w:pPr>
      <w:tabs>
        <w:tab w:val="center" w:pos="4153"/>
        <w:tab w:val="right" w:pos="8306"/>
      </w:tabs>
      <w:rPr>
        <w:color w:val="0000FF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36E55">
    <w:pPr>
      <w:tabs>
        <w:tab w:val="center" w:pos="4153"/>
        <w:tab w:val="right" w:pos="8306"/>
      </w:tabs>
      <w:jc w:val="center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8EC7D">
    <w:pPr>
      <w:tabs>
        <w:tab w:val="center" w:pos="4153"/>
        <w:tab w:val="right" w:pos="8306"/>
      </w:tabs>
      <w:jc w:val="center"/>
      <w:rPr>
        <w:rFonts w:hint="eastAsia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0543A6">
                          <w:pPr>
                            <w:tabs>
                              <w:tab w:val="center" w:pos="4153"/>
                              <w:tab w:val="right" w:pos="8306"/>
                            </w:tabs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0543A6">
                    <w:pPr>
                      <w:tabs>
                        <w:tab w:val="center" w:pos="4153"/>
                        <w:tab w:val="right" w:pos="8306"/>
                      </w:tabs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10B80">
    <w:pPr>
      <w:pBdr>
        <w:bottom w:val="single" w:color="auto" w:sz="4" w:space="0"/>
      </w:pBdr>
      <w:tabs>
        <w:tab w:val="center" w:pos="4153"/>
        <w:tab w:val="right" w:pos="8306"/>
      </w:tabs>
      <w:wordWrap/>
      <w:spacing w:line="240" w:lineRule="auto"/>
      <w:ind w:left="0" w:leftChars="0" w:firstLine="0" w:firstLineChars="0"/>
      <w:jc w:val="left"/>
    </w:pPr>
    <w:r>
      <w:rPr>
        <w:rFonts w:hint="eastAsia"/>
        <w:lang w:val="en-US" w:eastAsia="zh-CN"/>
      </w:rPr>
      <w:drawing>
        <wp:inline distT="0" distB="0" distL="114300" distR="114300">
          <wp:extent cx="401955" cy="190500"/>
          <wp:effectExtent l="0" t="0" r="4445" b="0"/>
          <wp:docPr id="50" name="图片 2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图片 2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</w:t>
    </w:r>
    <w:r>
      <w:rPr>
        <w:rFonts w:hint="eastAsia"/>
        <w:sz w:val="21"/>
        <w:szCs w:val="21"/>
        <w:lang w:val="en-US" w:eastAsia="zh-CN"/>
      </w:rPr>
      <w:t>2026第八届全球校园人工智能算法精英大赛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42D8E">
    <w:pPr>
      <w:tabs>
        <w:tab w:val="center" w:pos="4153"/>
        <w:tab w:val="right" w:pos="8306"/>
      </w:tabs>
      <w:wordWrap/>
      <w:spacing w:line="240" w:lineRule="auto"/>
      <w:ind w:left="0" w:leftChars="0" w:firstLine="0" w:firstLineChars="0"/>
      <w:jc w:val="left"/>
    </w:pPr>
    <w:r>
      <w:rPr>
        <w:rFonts w:hint="eastAsia"/>
        <w:lang w:val="en-US" w:eastAsia="zh-CN"/>
      </w:rPr>
      <w:drawing>
        <wp:inline distT="0" distB="0" distL="114300" distR="114300">
          <wp:extent cx="401955" cy="190500"/>
          <wp:effectExtent l="0" t="0" r="4445" b="0"/>
          <wp:docPr id="47" name="图片 1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图片 1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2026第八届全球校园人工智能算法精英大赛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3CDF3"/>
    <w:multiLevelType w:val="singleLevel"/>
    <w:tmpl w:val="8C43CDF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A2F4B1CB"/>
    <w:multiLevelType w:val="singleLevel"/>
    <w:tmpl w:val="A2F4B1CB"/>
    <w:lvl w:ilvl="0" w:tentative="0">
      <w:start w:val="3"/>
      <w:numFmt w:val="decimal"/>
      <w:suff w:val="space"/>
      <w:lvlText w:val="%1."/>
      <w:lvlJc w:val="left"/>
      <w:pPr>
        <w:ind w:left="-160"/>
      </w:pPr>
    </w:lvl>
  </w:abstractNum>
  <w:abstractNum w:abstractNumId="2">
    <w:nsid w:val="0598AD2C"/>
    <w:multiLevelType w:val="singleLevel"/>
    <w:tmpl w:val="0598AD2C"/>
    <w:lvl w:ilvl="0" w:tentative="0">
      <w:start w:val="1"/>
      <w:numFmt w:val="decimal"/>
      <w:pStyle w:val="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31D6B970"/>
    <w:multiLevelType w:val="singleLevel"/>
    <w:tmpl w:val="31D6B970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4">
    <w:nsid w:val="3213854C"/>
    <w:multiLevelType w:val="singleLevel"/>
    <w:tmpl w:val="3213854C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5CA700A6"/>
    <w:multiLevelType w:val="singleLevel"/>
    <w:tmpl w:val="5CA700A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52082"/>
    <w:rsid w:val="0F3A0931"/>
    <w:rsid w:val="10270321"/>
    <w:rsid w:val="10512E14"/>
    <w:rsid w:val="14B013C1"/>
    <w:rsid w:val="152D0C15"/>
    <w:rsid w:val="17D34A8D"/>
    <w:rsid w:val="280B3F3D"/>
    <w:rsid w:val="32E929CE"/>
    <w:rsid w:val="3FD334CD"/>
    <w:rsid w:val="3FDD2F6E"/>
    <w:rsid w:val="44733BCF"/>
    <w:rsid w:val="461A028F"/>
    <w:rsid w:val="53F8729C"/>
    <w:rsid w:val="55713254"/>
    <w:rsid w:val="557A6279"/>
    <w:rsid w:val="59A134A7"/>
    <w:rsid w:val="663E6752"/>
    <w:rsid w:val="67E168BF"/>
    <w:rsid w:val="70B8767B"/>
    <w:rsid w:val="71142635"/>
    <w:rsid w:val="71152082"/>
    <w:rsid w:val="72427182"/>
    <w:rsid w:val="777F45BF"/>
    <w:rsid w:val="79A4194C"/>
    <w:rsid w:val="7AB1214E"/>
    <w:rsid w:val="7C444E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0" w:beforeLines="0" w:beforeAutospacing="0" w:after="10" w:afterLines="0" w:afterAutospacing="0" w:line="240" w:lineRule="auto"/>
      <w:ind w:firstLine="880" w:firstLineChars="200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7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Number"/>
    <w:basedOn w:val="1"/>
    <w:qFormat/>
    <w:uiPriority w:val="0"/>
    <w:pPr>
      <w:numPr>
        <w:ilvl w:val="0"/>
        <w:numId w:val="1"/>
      </w:numPr>
    </w:pPr>
  </w:style>
  <w:style w:type="paragraph" w:styleId="6">
    <w:name w:val="List Bullet"/>
    <w:basedOn w:val="1"/>
    <w:qFormat/>
    <w:uiPriority w:val="0"/>
    <w:pPr>
      <w:numPr>
        <w:ilvl w:val="0"/>
        <w:numId w:val="2"/>
      </w:numPr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39"/>
    <w:pPr>
      <w:tabs>
        <w:tab w:val="right" w:leader="dot" w:pos="8296"/>
      </w:tabs>
      <w:spacing w:line="360" w:lineRule="auto"/>
      <w:ind w:firstLine="0" w:firstLineChars="0"/>
    </w:pPr>
    <w:rPr>
      <w:rFonts w:ascii="Times New Roman" w:hAnsi="Times New Roman" w:eastAsia="宋体"/>
    </w:rPr>
  </w:style>
  <w:style w:type="paragraph" w:styleId="10">
    <w:name w:val="toc 2"/>
    <w:basedOn w:val="1"/>
    <w:next w:val="1"/>
    <w:unhideWhenUsed/>
    <w:qFormat/>
    <w:uiPriority w:val="39"/>
    <w:pPr>
      <w:tabs>
        <w:tab w:val="right" w:leader="dot" w:pos="7927"/>
      </w:tabs>
      <w:ind w:left="0" w:leftChars="0" w:firstLine="880" w:firstLineChars="200"/>
      <w:jc w:val="left"/>
    </w:pPr>
    <w:rPr>
      <w:rFonts w:ascii="Times New Roman" w:hAnsi="Times New Roman" w:eastAsia="宋体"/>
    </w:r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44"/>
      <w:szCs w:val="32"/>
    </w:rPr>
  </w:style>
  <w:style w:type="table" w:styleId="15">
    <w:name w:val="Table Grid"/>
    <w:basedOn w:val="1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Light Grid Accent 1"/>
    <w:basedOn w:val="14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unhideWhenUsed/>
    <w:qFormat/>
    <w:uiPriority w:val="99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9461</Words>
  <Characters>10798</Characters>
  <TotalTime>107</TotalTime>
  <ScaleCrop>false</ScaleCrop>
  <LinksUpToDate>false</LinksUpToDate>
  <CharactersWithSpaces>11327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2026-10-11T16:44:00Z</dcterms:created>
  <dc:creator>Wayne</dc:creator>
  <cp:lastModifiedBy>Au</cp:lastModifiedBy>
  <dcterms:modified xsi:type="dcterms:W3CDTF">2026-10-17T14:49:27Z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49D9AAC4828A449CAAA5D88BAF031F17_13</vt:lpwstr>
  </property>
  <property fmtid="{D5CDD505-2E9C-101B-9397-08002B2CF9AE}" pid="4" name="KSOTemplateDocerSaveRecord">
    <vt:lpwstr>eyJoZGlkIjoiMTRhMGM5MjhmNGQ5N2FiZWVkMzM3YTQ4YzI1MDYyMzciLCJ1c2VySWQiOiIxNDU2MzM3NzcxIn0=</vt:lpwstr>
  </property>
</Properties>
</file>