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its fixed-horizon version names the true pair in 92.5% of games when the vendor pools confidential costs and flags 1.7% when it uses only public data. A pre-registered replication on fresh games confirmed the sequential version on an instructed positive control (18/20 pairs named, 0/40 false alarms).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confirmed in a fresh pre-registered series (73.3% against 3.3%). It detects what the current channel adds; coordination already stored in instructions or memory escapes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the fixed-horizon version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a related intervention on a logged call: the audited channel is removed and the deployed policy is resampled, rather than a message substituted and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channel's field removed from the prompt, which is what the replays do.</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(its content or its mere presence), that agents share randomness the log does not record (for example a common sampling seed), or that A1 failed.</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𝒢</m:t>
            </m:r>
          </m:e>
          <m:sub>
            <m:r>
              <m:t xml:space="preserve">t</m:t>
            </m:r>
            <m:r>
              <m:rPr>
                <m:sty m:val="p"/>
              </m:rPr>
              <m:t xml:space="preserve">-</m:t>
            </m:r>
            <m:r>
              <m:t xml:space="preserve">1</m:t>
            </m:r>
          </m:sub>
        </m:sSub>
      </m:oMath>
      <w:r>
        <w:rPr>
          <w:sz w:val="20"/>
        </w:rPr>
        <w:t xml:space="preserve"> be generated by the views, logged actions and replay pools of rounds </w:t>
      </w:r>
      <m:oMath>
        <m:r>
          <m:t xml:space="preserve">1</m:t>
        </m:r>
        <m:r>
          <m:rPr>
            <m:sty m:val="p"/>
          </m:rPr>
          <m:t xml:space="preserve">,</m:t>
        </m:r>
        <m:r>
          <m:t xml:space="preserve">…</m:t>
        </m:r>
        <m:r>
          <m:rPr>
            <m:sty m:val="p"/>
          </m:rPr>
          <m:t xml:space="preserve">,</m:t>
        </m:r>
        <m:r>
          <m:t xml:space="preserve">t</m:t>
        </m:r>
        <m:r>
          <m:rPr>
            <m:sty m:val="p"/>
          </m:rPr>
          <m:t xml:space="preserve">-</m:t>
        </m:r>
        <m:r>
          <m:t xml:space="preserve">1</m:t>
        </m:r>
      </m:oMath>
      <w:r>
        <w:rPr>
          <w:sz w:val="20"/>
        </w:rPr>
        <w:t>; agents move simultaneously, so no round-</w:t>
      </w:r>
      <m:oMath>
        <m:r>
          <m:t xml:space="preserve">t</m:t>
        </m:r>
      </m:oMath>
      <w:r>
        <w:rPr>
          <w:sz w:val="20"/>
        </w:rPr>
        <w:t xml:space="preserve"> view contains a round-</w:t>
      </w:r>
      <m:oMath>
        <m:r>
          <m:t xml:space="preserve">t</m:t>
        </m:r>
      </m:oMath>
      <w:r>
        <w:rPr>
          <w:sz w:val="20"/>
        </w:rPr>
        <w:t xml:space="preserve"> action. Under </w:t>
      </w:r>
      <m:oMath>
        <m:sSub>
          <m:e>
            <m:r>
              <m:t xml:space="preserve">H</m:t>
            </m:r>
          </m:e>
          <m:sub>
            <m:r>
              <m:t xml:space="preserve">0</m:t>
            </m:r>
          </m:sub>
        </m:sSub>
      </m:oMath>
      <w:r>
        <w:rPr>
          <w:sz w:val="20"/>
        </w:rPr>
        <w:t xml:space="preserve"> and A1–A3, conditional on </w:t>
      </w:r>
      <m:oMath>
        <m:sSub>
          <m:e>
            <m:r>
              <m:rPr>
                <m:sty m:val="p"/>
              </m:rPr>
              <m:t xml:space="preserve">𝒢</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which removes a common cause such as a shared opponent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t>
      </w:r>
      <m:oMath>
        <m:r>
          <m:t xml:space="preserve">τ</m:t>
        </m:r>
      </m:oMath>
      <w:r>
        <w:rPr>
          <w:sz w:val="20"/>
        </w:rPr>
        <w:t xml:space="preserve"> with </w:t>
      </w:r>
      <m:oMath>
        <m:sSub>
          <m:e>
            <m:r>
              <m:t xml:space="preserve">E</m:t>
            </m:r>
          </m:e>
          <m:sub>
            <m:r>
              <m:t xml:space="preserve">τ</m:t>
            </m:r>
          </m:sub>
        </m:sSub>
        <m:r>
          <m:t xml:space="preserve">≥</m:t>
        </m:r>
        <m:r>
          <m:t xml:space="preserve">1</m:t>
        </m:r>
        <m:r>
          <m:rPr>
            <m:sty m:val="p"/>
          </m:rPr>
          <m:t xml:space="preserve">/</m:t>
        </m:r>
        <m:r>
          <m:t xml:space="preserve">α</m:t>
        </m:r>
      </m:oMath>
      <w:r>
        <w:rPr>
          <w:sz w:val="20"/>
        </w:rPr>
        <w:t xml:space="preserve">; </w:t>
      </w:r>
      <m:oMath>
        <m:sSub>
          <m:e>
            <m:r>
              <m:t xml:space="preserve">q</m:t>
            </m:r>
          </m:e>
          <m:sub>
            <m:r>
              <m:t xml:space="preserve">i</m:t>
            </m:r>
            <m:r>
              <m:t xml:space="preserve">j</m:t>
            </m:r>
            <m:r>
              <m:rPr>
                <m:sty m:val="p"/>
              </m:rPr>
              <m:t xml:space="preserve">,</m:t>
            </m:r>
            <m:r>
              <m:t xml:space="preserve">t</m:t>
            </m:r>
          </m:sub>
        </m:sSub>
      </m:oMath>
      <w:r>
        <w:rPr>
          <w:sz w:val="20"/>
        </w:rPr>
        <w:t xml:space="preserve"> depends only on </w:t>
      </w:r>
      <m:oMath>
        <m:sSub>
          <m:e>
            <m:r>
              <m:rPr>
                <m:sty m:val="p"/>
              </m:rPr>
              <m:t xml:space="preserve">𝒢</m:t>
            </m:r>
          </m:e>
          <m:sub>
            <m:r>
              <m:t xml:space="preserve">t</m:t>
            </m:r>
            <m:r>
              <m:rPr>
                <m:sty m:val="p"/>
              </m:rPr>
              <m:t xml:space="preserve">-</m:t>
            </m:r>
            <m:r>
              <m:t xml:space="preserve">1</m:t>
            </m:r>
          </m:sub>
        </m:sSub>
      </m:oMath>
      <w:r>
        <w:rPr>
          <w:sz w:val="20"/>
        </w:rPr>
        <w:t xml:space="preserve"> (the action alphabet is fixed before the first round; every run here passes it explicitly) and is positive, so each </w:t>
      </w:r>
      <m:oMath>
        <m:sSub>
          <m:e>
            <m:r>
              <m:t xml:space="preserve">e</m:t>
            </m:r>
          </m:e>
          <m:sub>
            <m:r>
              <m:t xml:space="preserve">i</m:t>
            </m:r>
            <m:r>
              <m:t xml:space="preserve">j</m:t>
            </m:r>
            <m:r>
              <m:rPr>
                <m:sty m:val="p"/>
              </m:rPr>
              <m:t xml:space="preserve">,</m:t>
            </m:r>
            <m:r>
              <m:t xml:space="preserve">t</m:t>
            </m:r>
          </m:sub>
        </m:sSub>
        <m:r>
          <m:rPr>
            <m:sty m:val="p"/>
          </m:rPr>
          <m:t xml:space="preserve">&gt;</m:t>
        </m:r>
        <m:r>
          <m:t xml:space="preserve">0</m:t>
        </m:r>
      </m:oMath>
      <w:r>
        <w:rPr>
          <w:sz w:val="20"/>
        </w:rPr>
        <w:t>. The two tests target different alternatives: net influence looks for dependence beyond what a third agent explains, the bet for any joint pattern that the pools do not reproduce.</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r>
          <m:rPr>
            <m:sty m:val="p"/>
          </m:rPr>
          <m:t xml:space="preserve">(</m:t>
        </m:r>
        <m:sSub>
          <m:e>
            <m:r>
              <m:t xml:space="preserve">E</m:t>
            </m:r>
          </m:e>
          <m:sub>
            <m:r>
              <m:t xml:space="preserve">t</m:t>
            </m:r>
          </m:sub>
        </m:sSub>
        <m:r>
          <m:rPr>
            <m:sty m:val="p"/>
          </m:rPr>
          <m:t xml:space="preserve">)</m:t>
        </m:r>
      </m:oMath>
      <w:r>
        <w:rPr>
          <w:sz w:val="20"/>
        </w:rPr>
        <w:t xml:space="preserve"> is a nonnegative martingale with respect to </w:t>
      </w:r>
      <m:oMath>
        <m:r>
          <m:rPr>
            <m:sty m:val="p"/>
          </m:rPr>
          <m:t xml:space="preserve">(</m:t>
        </m:r>
        <m:sSub>
          <m:e>
            <m:r>
              <m:rPr>
                <m:sty m:val="p"/>
              </m:rPr>
              <m:t xml:space="preserve">𝒢</m:t>
            </m:r>
          </m:e>
          <m:sub>
            <m:r>
              <m:t xml:space="preserve">t</m:t>
            </m:r>
          </m:sub>
        </m:sSub>
        <m:r>
          <m:rPr>
            <m:sty m:val="p"/>
          </m:rPr>
          <m:t xml:space="preserve">)</m:t>
        </m:r>
      </m:oMath>
      <w:r>
        <w:rPr>
          <w:sz w:val="20"/>
        </w:rPr>
        <w:t xml:space="preserv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Appendix C.9 proves it,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Only the sequential bet carries the anytime guarantee; the departure and pair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(same model, mixed models and undelivered plans) the replay test flags 4.2% at the 5% level</w:t>
      </w:r>
      <w:r>
        <w:rPr>
          <w:sz w:val="20"/>
        </w:rPr>
        <w:t xml:space="preserve"> (95% CI 3–6%). Its p-values on honest games are close to uniform. In the auction it flags 1% of honest games, and on the validation models 3/40 (GPT-6 Luna), 4/40 (Gemma 3) and 1/40 (gpt-oss-20b).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With Claude Haiku sellers the pooled-data vendor's pair is named in 15% of games and the public-data vendor flagged in 0% (pre-registered, C.11).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On fresh DeepSeek games with the provider pinned, the likelihood-ratio bet of Appendix C.9 flagged 10/40 secret-plan games against 0/40 for the joint bet, with 3/80 false alarms (pre-registered, Appendix C.11). The sequential test's guarantee costs power elsewhere: it names the pooled-data vendor pair in 45% of games, against 92.5% for the fixed-horizon test. Appendix C.9 explains why: a post-hoc likelihood-ratio bet recovers 92.5% here but names fewer Haiku pairs (62.5%).</w:t>
      </w:r>
    </w:p>
    <w:p>
      <w:pPr>
        <w:tabs>
          <w:tab w:pos="403" w:val="left"/>
        </w:tabs>
        <w:spacing w:after="40" w:before="0"/>
        <w:ind w:left="403" w:hanging="288"/>
      </w:pPr>
      <w:r>
        <w:rPr>
          <w:sz w:val="20"/>
        </w:rPr>
        <w:t>•</w:t>
        <w:tab/>
      </w:r>
      <w:r>
        <w:rPr>
          <w:i/>
          <w:sz w:val="20"/>
        </w:rPr>
        <w:t>A public chat.</w:t>
      </w:r>
      <w:r>
        <w:rPr>
          <w:sz w:val="20"/>
        </w:rPr>
        <w:t xml:space="preserve"> With every player writing one line of small talk in a chat that the auditor reads, a pair that hid its move in a code word was flagged in 30% of games against 5% of honest small-talk games (pre-registered, C.11).</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(Appendix C.10), and a fresh pre-registered series confirmed it: 73.3% of new cartel games flagged against 3.3% without chat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under A1–A3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in theory, the growth-optimal bet finds a channel whose current messages shift payoffs at a speed set by the size of the shift (Appendix C.9); agreements already held in instructions or memory escape this test and need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From actions alone the Haiku judge flags 8.7% of honest Haiku games, with AUROC 0.85 (95% CI 0.78–0.91) for Haiku and 0.50 (0.41–0.60) for DeepSeek, against 0.77 (0.67–0.85) and 0.55 (0.44–0.65) for the replay test; given the private messages it flags 65% of Haiku and 100% of DeepSeek games whose plans were never delivered;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m:oMath>
        <m:r>
          <m:t xml:space="preserve">P</m:t>
        </m:r>
      </m:oMath>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m:oMath>
        <m:r>
          <m:t xml:space="preserve">k</m:t>
        </m:r>
      </m:oMath>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m:oMath>
        <m:r>
          <m:t xml:space="preserve">k</m:t>
        </m:r>
      </m:oMath>
      <w:r>
        <w:rPr>
          <w:sz w:val="20"/>
        </w:rPr>
        <w:t xml:space="preserve"> inequality between the two divergences.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m:oMath>
        <m:r>
          <m:t xml:space="preserve">k</m:t>
        </m:r>
        <m:r>
          <m:rPr>
            <m:sty m:val="p"/>
          </m:rPr>
          <m:t xml:space="preserve">=</m:t>
        </m:r>
        <m:r>
          <m:t xml:space="preserve">2</m:t>
        </m:r>
      </m:oMath>
      <w:r>
        <w:rPr>
          <w:sz w:val="20"/>
        </w:rPr>
        <w:t xml:space="preserve"> this is a heuristic scale, not a bound.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After the main analysis and the auction study we committed a plan, timestamped before any of these data, with further runs, each with hypotheses, sample sizes and numerical predictions written in advance; the co-departure test of C.10 was pre-registered there as a secondary statistic, with the prediction that its false alarms stay at most 10% and its power is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 Every run is reported whatever its outcome.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p>
      <w:pPr>
        <w:spacing w:after="60" w:before="0"/>
        <w:jc w:val="both"/>
      </w:pPr>
      <w:r>
        <w:rPr>
          <w:b/>
          <w:sz w:val="20"/>
        </w:rPr>
        <w:t>Author contributions.</w:t>
      </w:r>
      <w:r>
        <w:rPr>
          <w:sz w:val="20"/>
        </w:rPr>
        <w:t xml:space="preserve"> 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