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as it does on published auction logs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and over whole games we measure it: 4.2% of 550 honest LLM games, with the analysis fixed in advance. In a procurement auction it names the pair in 92.5% of games where a pricing vendor secretly shares two clients' costs, as alleged in Duffy v. Yardi, and flags 1.7% when the vendor uses only public data. In rock-paper-scissors it names 35% of Haiku and 10% of DeepSeek pairs instructed to collude, depending on how strongly the channel shapes moves. A sequential version, which can stop as soon as the evidence is strong, named 18/20 instructed pairs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named 18/20 instructed Haiku pairs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dependence tests accuse honest same-model agents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846320" cy="2744022"/>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846320" cy="2744022"/>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120640" cy="2021996"/>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120640" cy="2021996"/>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 (the whole study: 498,082 calls, $43.78).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use raw mutual information or the sequential test (net influence cancels inside a coalition); one replay instead of two halves the cost and cost the fixed test little in our data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not evidence; the replay test asks what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Their ZIP buyers are unusable: the adaptation code is commented out, so they bid about 80 against a seller cost of 80. We ran 16 fifteen-hour episodes with DeepSeek or Haiku sellers, chat off or on.</w:t>
      </w:r>
    </w:p>
    <w:p>
      <w:pPr>
        <w:spacing w:after="80" w:before="0"/>
        <w:jc w:val="both"/>
      </w:pPr>
      <w:r>
        <w:rPr>
          <w:sz w:val="20"/>
        </w:rPr>
        <w:t>- 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 - The sequential test and the replay test with raw MI raised 0 flags. The time-shuffle MI screen flagged 3 of 8 no-chat episodes, which have no channel at all, and 4 of 8 chat episodes. Re-coded with finer bins, which were chosen after seeing the pilot data and are pre-specified only for the full study, the screen flagged 6 of 8 and 7 of 8, and the replay tests, on the same bins, none. - With 3–5 short episodes per cell, coarse bins and no positive control, these counts establish neither the absence of a chat effect nor a detector advantage. A pre-registered 2×2 with an instructed-cartel positive control is drafted (</w:t>
      </w:r>
      <w:r>
        <w:rPr>
          <w:rFonts w:ascii="Courier New" w:hAnsi="Courier New"/>
          <w:sz w:val="20"/>
        </w:rPr>
        <w:t>docs/agrawal_live_plan.md</w:t>
      </w:r>
      <w:r>
        <w:rPr>
          <w:sz w:val="20"/>
        </w:rPr>
        <w:t>) but not run.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