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as it does on published auction logs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and over whole games we measure it: 4.2% of 550 honest LLM games, with the analysis fixed in advance. In a procurement auction it names the pair in 92.5% of games where a pricing vendor secretly shares two clients' costs, as alleged in Duffy v. Yardi, and flags 1.7% when the vendor uses only public data. In rock-paper-scissors it names 35% of Haiku and 10% of DeepSeek pairs instructed to collude, depending on how strongly the channel shapes moves. A sequential version, which can stop as soon as the evidence is strong, named 18/20 instructed pairs against 11/20 for the fixed-length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sequential version, which may stop as soon as the evidence is strong, named 18/20 instructed Haiku pairs (fixed-length test: 11/20) in a fresh, pre-registered sample. The replays cost about $0.015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can accuse any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targets).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removes only that, and decides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(Appendix C checks this; it is not proven),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dependence tests accuse honest same-model agents</w:t>
      </w:r>
      <w:r>
        <w:rPr>
          <w:sz w:val="20"/>
        </w:rPr>
        <w:t xml:space="preserve">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stays near its false-alarm rate in every honest condition:</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w:t>
      </w:r>
      <w:r>
        <w:rPr>
          <w:sz w:val="20"/>
        </w:rPr>
        <w:t xml:space="preserve"> We answer 1.4 (net influence on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 Our replay is an action-level analogue of the "sentinel" comparison Anwar proposed at this sprint for steganography.</w:t>
      </w:r>
    </w:p>
    <w:p>
      <w:pPr>
        <w:spacing w:after="80" w:before="0"/>
        <w:jc w:val="both"/>
      </w:pPr>
      <w:r>
        <w:rPr>
          <w:b/>
          <w:sz w:val="20"/>
        </w:rPr>
        <w:t>Definition used.</w:t>
      </w:r>
      <w:r>
        <w:rPr>
          <w:sz w:val="20"/>
        </w:rPr>
        <w:t xml:space="preserve"> Of the 139 definitions in the organisers' survey [21], we follow those that require communication (Rose et al. [15]: "agents must actively communicate, whether explicitly or implicitly, to collude"). Unlike them, we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389120" cy="1393671"/>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389120" cy="1393671"/>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17],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 In a small pilot re-implementing that auction, it flagged 3 of 8 no-chat episodes (6 of 8 with finer post-hoc bins) and the replay tests none (App. C).</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4846320" cy="2744022"/>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4846320" cy="2744022"/>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confidence intervals (Wilson).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120640" cy="2021996"/>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120640" cy="2021996"/>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[18–20],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82.5% of episodes, after a median of 19 rounds (fixed-horizon test: 35%), but the vendor-leak pair in only 45% (fixed-horizon test: 92.5%).</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$0.015 per 30-round, 4-agent audit at DeepSeek prices (the whole study: 498,082 calls, $43.78).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Variants:</w:t>
            </w:r>
            <w:r>
              <w:rPr>
                <w:sz w:val="17"/>
              </w:rPr>
              <w:t xml:space="preserve"> for coalitions of three or more use raw mutual information or the sequential test (net influence cancels inside a coalition); one replay instead of two halves the cost and cost the fixed test little in our data (Appendix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not evidence; the replay test asks what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shown empirically, not proven; the sequential version (§4.6) keeps its level and was replicated in a pre-registered sample on one model. The per-round null assumes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Two main model families, short games and a stylised auction; the Agrawal panel checks only false alarms, since those policies cannot be queried again.</w:t>
      </w:r>
    </w:p>
    <w:p>
      <w:pPr>
        <w:spacing w:after="80" w:before="0"/>
        <w:jc w:val="both"/>
      </w:pPr>
      <w:r>
        <w:rPr>
          <w:b/>
          <w:sz w:val="20"/>
        </w:rPr>
        <w:t>Future work:</w:t>
      </w:r>
      <w:r>
        <w:rPr>
          <w:sz w:val="20"/>
        </w:rPr>
        <w:t xml:space="preserve"> statistics for varied hidden plans, adversaries trained against the test, policy audits.</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w:t>
      </w:r>
    </w:p>
    <w:p>
      <w:pPr>
        <w:tabs>
          <w:tab w:pos="403" w:val="left"/>
        </w:tabs>
        <w:spacing w:after="40" w:before="0"/>
        <w:ind w:left="403" w:hanging="288"/>
      </w:pPr>
      <w:r>
        <w:rPr>
          <w:sz w:val="20"/>
        </w:rPr>
        <w:t>17.</w:t>
        <w:tab/>
      </w:r>
      <w:r>
        <w:rPr>
          <w:sz w:val="20"/>
        </w:rPr>
        <w:t>E. Lehmann, J. Romano. Testing Statistical Hypotheses, 3rd ed., Springer, 2005, §15.2.</w:t>
      </w:r>
    </w:p>
    <w:p>
      <w:pPr>
        <w:tabs>
          <w:tab w:pos="403" w:val="left"/>
        </w:tabs>
        <w:spacing w:after="40" w:before="0"/>
        <w:ind w:left="403" w:hanging="288"/>
      </w:pPr>
      <w:r>
        <w:rPr>
          <w:sz w:val="20"/>
        </w:rPr>
        <w:t>18.</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19.</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20.</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21.</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[18, 19, 20],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Pilot in the organisers' target environment (descriptive; excluded from all confirmatory analyses).</w:t>
      </w:r>
      <w:r>
        <w:rPr>
          <w:sz w:val="20"/>
        </w:rPr>
        <w:t xml:space="preserve"> We re-implemented Agrawal et al.'s hourly double auction from their design, with prompts written by us carrying the same information (</w:t>
      </w:r>
      <w:r>
        <w:rPr>
          <w:rFonts w:ascii="Courier New" w:hAnsi="Courier New"/>
          <w:sz w:val="20"/>
        </w:rPr>
        <w:t>src/collusion/games/cda.py</w:t>
      </w:r>
      <w:r>
        <w:rPr>
          <w:sz w:val="20"/>
        </w:rPr>
        <w:t>). The mechanics: one order per hour that replaces the last, end-of-hour matching at the midpoint, previous-hour seller chat, and each agent's own memory and notebook. Five sellers (cost 80) are audited; the five buyers are LLMs. Their ZIP buyers are unusable: the adaptation code is commented out, so they bid about 80 against a seller cost of 80. We ran 16 fifteen-hour episodes with DeepSeek or Haiku sellers, chat off or on.</w:t>
      </w:r>
    </w:p>
    <w:p>
      <w:pPr>
        <w:spacing w:after="80" w:before="0"/>
        <w:jc w:val="both"/>
      </w:pPr>
      <w:r>
        <w:rPr>
          <w:sz w:val="20"/>
        </w:rPr>
        <w:t>- Chat produced 575 messages, 444 of them matching a broad agreement word list, but showed no material price rise: 86.25 without and 86.36 with chat for DeepSeek sellers, and 88.53 and 88.83 for Haiku. This is the brief's third case type, collusive-sounding talk that does not change behaviour, in the target environment. - The sequential test and the replay test with raw MI raised 0 flags. The time-shuffle MI screen flagged 3 of 8 no-chat episodes, which have no channel at all, and 4 of 8 chat episodes. With finer price bins chosen after the pilot (post hoc, used only to set the main study's bins) it flagged 6 of 8 and 7 of 8, and the replay tests still none. - With 3–5 short episodes per cell, coarse bins and no positive control, these counts establish neither the absence of a chat effect nor a detector advantage. A pre-registered 2×2 with an instructed-cartel positive control is drafted (</w:t>
      </w:r>
      <w:r>
        <w:rPr>
          <w:rFonts w:ascii="Courier New" w:hAnsi="Courier New"/>
          <w:sz w:val="20"/>
        </w:rPr>
        <w:t>docs/agrawal_live_plan.md</w:t>
      </w:r>
      <w:r>
        <w:rPr>
          <w:sz w:val="20"/>
        </w:rPr>
        <w:t>) but not run.</w:t>
      </w:r>
    </w:p>
    <w:p>
      <w:pPr>
        <w:tabs>
          <w:tab w:pos="403" w:val="left"/>
        </w:tabs>
        <w:spacing w:after="40" w:before="0"/>
        <w:ind w:left="403" w:hanging="288"/>
      </w:pPr>
      <w:r>
        <w:rPr>
          <w:sz w:val="20"/>
        </w:rPr>
        <w:t>•</w:t>
        <w:tab/>
      </w:r>
      <w:r>
        <w:rPr>
          <w:b/>
          <w:sz w:val="20"/>
        </w:rPr>
        <w:t>One replay instead of two (exploratory re-analysis, `experiments/k_requeries.py`).</w:t>
      </w:r>
      <w:r>
        <w:rPr>
          <w:sz w:val="20"/>
        </w:rPr>
        <w:t xml:space="preserve">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honest false alarms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`experiments/s0d_coalition.py`, 300 runs per cell).</w:t>
      </w:r>
      <w:r>
        <w:rPr>
          <w:sz w:val="20"/>
        </w:rPr>
        <w:t xml:space="preserve">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Added after the freeze and labelled exploratory: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