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In a pre-registered study of the brief's target environment, our re-implementation of Agrawal et al.'s double auction, the sequential version ruled out false-alarm rates of 15% or more.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unlike Audit the Whisper [2], we replay each agent inside every round.</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p>
      <w:pPr>
        <w:spacing w:after="60" w:before="0"/>
        <w:jc w:val="both"/>
      </w:pPr>
      <w:r>
        <w:rPr>
          <w:b/>
          <w:sz w:val="20"/>
        </w:rPr>
        <w:t>Which bet detects fastest.</w:t>
      </w:r>
      <w:r>
        <w:rPr>
          <w:sz w:val="20"/>
        </w:rPr>
        <w:t xml:space="preserve"> 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If a channel shifts the pair's expected payoff per round, for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by </w:t>
      </w:r>
      <m:oMath>
        <m:r>
          <m:t xml:space="preserve">δ</m:t>
        </m:r>
      </m:oMath>
      <w:r>
        <w:rPr>
          <w:sz w:val="20"/>
        </w:rPr>
        <w:t xml:space="preserve"> relative to independent play from the replay laws, then by Pinsker's inequality</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 channel that is hard to detect cannot change payoffs much.</w:t>
      </w:r>
    </w:p>
    <w:p>
      <w:pPr>
        <w:spacing w:after="60" w:before="0"/>
        <w:jc w:val="both"/>
      </w:pPr>
      <w:r>
        <w:rPr>
          <w:sz w:val="20"/>
        </w:rPr>
        <w:t>The pre-registered joint bet does not divide by the replay laws; under shared skewed priors its growth is negative for channels that copy up to 0.3 of moves (Fig. A5). The likelihood-ratio bet is the better detector, but it also pays when one agent alone departs from its replays, so naming the pair remains the job of the fixed-horizon test.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 0.000). In our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Its p-values on honest games are close to uniform. In the auction it flags 1% of honest games, and on the three validation models 3/40, 4/40 and 1/40. In the pre-registered study in our re-implementation of Agrawal et al.'s double auction (Appendix C), the sequential test raised 0/60 false alarms in games without chat (95% CI 0–6%), ruling out a false-alarm rate of 15% or more (p = 0.000). The fixed-horizon test can over-reject when honest agents repeat their own moves (§5.4);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Proposition 3 explains why. In a post-hoc analysis, the likelihood-ratio bet flags 100% of pooled-data games and names the pair in 92.5%, but names fewer Haiku pairs (62.5%), because it also rewards one agent's departure (Appendix C).</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r>
        <w:rPr>
          <w:sz w:val="20"/>
        </w:rPr>
        <w:t xml:space="preserve"> Net influence also cancels inside coalitions of three, where the sequential test still works (Appendix C).</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sellers in one condition were told to follow a leader's price floor. The instructed cartel's mean trade price was 88.96 (no chat: 85.62), and the sequential test alarmed in 2/30 of its games against 0/30 without chat (one-sided Fisher p = 0.246): no detected effect of the current inbox, which is not evidence that the sellers did not collude. Their replays, which keep each seller's memory, followed a just-changed floor in 49% of cases against 90% for the logged asks: a follower that reads "floor 91" in hour 3 notes it, and in hour 4 its replay, without the inbox, still reads the note and asks 91.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cartel than without chat (C4). Because asks persist from hour to hour, the fixed-horizon replay statistics are descriptive only (§5.4). C1 was supported (0/60, p = 0.000), C2 supported (p = 0.000) and C4 not supported (p = 0.246).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39"/>
        <w:gridCol w:w="501"/>
        <w:gridCol w:w="1054"/>
        <w:gridCol w:w="998"/>
        <w:gridCol w:w="1165"/>
        <w:gridCol w:w="1488"/>
        <w:gridCol w:w="1328"/>
      </w:tblGrid>
      <w:tr>
        <w:trPr>
          <w:cantSplit/>
        </w:trPr>
        <w:tc>
          <w:tcPr>
            <w:tcW w:type="dxa" w:w="2539"/>
          </w:tcPr>
          <w:p>
            <w:pPr>
              <w:keepNext/>
              <w:spacing w:after="20"/>
            </w:pPr>
            <w:r>
              <w:rPr>
                <w:b/>
                <w:sz w:val="16"/>
              </w:rPr>
              <w:t>Cell</w:t>
            </w:r>
          </w:p>
        </w:tc>
        <w:tc>
          <w:tcPr>
            <w:tcW w:type="dxa" w:w="501"/>
          </w:tcPr>
          <w:p>
            <w:pPr>
              <w:keepNext/>
              <w:spacing w:after="20"/>
            </w:pPr>
            <w:r>
              <w:rPr>
                <w:b/>
                <w:sz w:val="16"/>
              </w:rPr>
              <w:t>Games</w:t>
            </w:r>
          </w:p>
        </w:tc>
        <w:tc>
          <w:tcPr>
            <w:tcW w:type="dxa" w:w="1054"/>
          </w:tcPr>
          <w:p>
            <w:pPr>
              <w:keepNext/>
              <w:spacing w:after="20"/>
            </w:pPr>
            <w:r>
              <w:rPr>
                <w:b/>
                <w:sz w:val="16"/>
              </w:rPr>
              <w:t>Mean trade price</w:t>
            </w:r>
          </w:p>
        </w:tc>
        <w:tc>
          <w:tcPr>
            <w:tcW w:type="dxa" w:w="998"/>
          </w:tcPr>
          <w:p>
            <w:pPr>
              <w:keepNext/>
              <w:spacing w:after="20"/>
            </w:pPr>
            <w:r>
              <w:rPr>
                <w:b/>
                <w:sz w:val="16"/>
              </w:rPr>
              <w:t>Time-shuffle MI</w:t>
            </w:r>
          </w:p>
        </w:tc>
        <w:tc>
          <w:tcPr>
            <w:tcW w:type="dxa" w:w="1165"/>
          </w:tcPr>
          <w:p>
            <w:pPr>
              <w:keepNext/>
              <w:spacing w:after="20"/>
            </w:pPr>
            <w:r>
              <w:rPr>
                <w:b/>
                <w:sz w:val="16"/>
              </w:rPr>
              <w:t>Replay, sequential</w:t>
            </w:r>
          </w:p>
        </w:tc>
        <w:tc>
          <w:tcPr>
            <w:tcW w:type="dxa" w:w="1488"/>
          </w:tcPr>
          <w:p>
            <w:pPr>
              <w:keepNext/>
              <w:spacing w:after="20"/>
            </w:pPr>
            <w:r>
              <w:rPr>
                <w:b/>
                <w:sz w:val="16"/>
              </w:rPr>
              <w:t>Replay, fixed (MI / net)</w:t>
            </w:r>
          </w:p>
        </w:tc>
        <w:tc>
          <w:tcPr>
            <w:tcW w:type="dxa" w:w="1328"/>
          </w:tcPr>
          <w:p>
            <w:pPr>
              <w:keepNext/>
              <w:spacing w:after="20"/>
            </w:pPr>
            <w:r>
              <w:rPr>
                <w:b/>
                <w:sz w:val="16"/>
              </w:rPr>
              <w:t>Logged − replayed ask</w:t>
            </w:r>
          </w:p>
        </w:tc>
      </w:tr>
      <w:tr>
        <w:trPr>
          <w:cantSplit/>
        </w:trPr>
        <w:tc>
          <w:tcPr>
            <w:tcW w:type="dxa" w:w="2539"/>
          </w:tcPr>
          <w:p>
            <w:pPr>
              <w:keepNext/>
              <w:spacing w:after="20"/>
            </w:pPr>
            <w:r>
              <w:rPr>
                <w:sz w:val="16"/>
              </w:rPr>
              <w:t>DeepSeek, no chat</w:t>
            </w:r>
          </w:p>
        </w:tc>
        <w:tc>
          <w:tcPr>
            <w:tcW w:type="dxa" w:w="501"/>
          </w:tcPr>
          <w:p>
            <w:pPr>
              <w:keepNext/>
              <w:spacing w:after="20"/>
            </w:pPr>
            <w:r>
              <w:rPr>
                <w:sz w:val="16"/>
              </w:rPr>
              <w:t>30</w:t>
            </w:r>
          </w:p>
        </w:tc>
        <w:tc>
          <w:tcPr>
            <w:tcW w:type="dxa" w:w="1054"/>
          </w:tcPr>
          <w:p>
            <w:pPr>
              <w:keepNext/>
              <w:spacing w:after="20"/>
            </w:pPr>
            <w:r>
              <w:rPr>
                <w:sz w:val="16"/>
              </w:rPr>
              <w:t>85.62</w:t>
            </w:r>
          </w:p>
        </w:tc>
        <w:tc>
          <w:tcPr>
            <w:tcW w:type="dxa" w:w="998"/>
          </w:tcPr>
          <w:p>
            <w:pPr>
              <w:keepNext/>
              <w:spacing w:after="20"/>
            </w:pPr>
            <w:r>
              <w:rPr>
                <w:sz w:val="16"/>
              </w:rPr>
              <w:t>26</w:t>
            </w:r>
          </w:p>
        </w:tc>
        <w:tc>
          <w:tcPr>
            <w:tcW w:type="dxa" w:w="1165"/>
          </w:tcPr>
          <w:p>
            <w:pPr>
              <w:keepNext/>
              <w:spacing w:after="20"/>
            </w:pPr>
            <w:r>
              <w:rPr>
                <w:sz w:val="16"/>
              </w:rPr>
              <w:t>0</w:t>
            </w:r>
          </w:p>
        </w:tc>
        <w:tc>
          <w:tcPr>
            <w:tcW w:type="dxa" w:w="1488"/>
          </w:tcPr>
          <w:p>
            <w:pPr>
              <w:keepNext/>
              <w:spacing w:after="20"/>
            </w:pPr>
            <w:r>
              <w:rPr>
                <w:sz w:val="16"/>
              </w:rPr>
              <w:t>1 / 1</w:t>
            </w:r>
          </w:p>
        </w:tc>
        <w:tc>
          <w:tcPr>
            <w:tcW w:type="dxa" w:w="1328"/>
          </w:tcPr>
          <w:p>
            <w:pPr>
              <w:keepNext/>
              <w:spacing w:after="20"/>
            </w:pPr>
            <w:r>
              <w:rPr>
                <w:sz w:val="16"/>
              </w:rPr>
              <w:t>-0.03</w:t>
            </w:r>
          </w:p>
        </w:tc>
      </w:tr>
      <w:tr>
        <w:trPr>
          <w:cantSplit/>
        </w:trPr>
        <w:tc>
          <w:tcPr>
            <w:tcW w:type="dxa" w:w="2539"/>
          </w:tcPr>
          <w:p>
            <w:pPr>
              <w:keepNext/>
              <w:spacing w:after="20"/>
            </w:pPr>
            <w:r>
              <w:rPr>
                <w:sz w:val="16"/>
              </w:rPr>
              <w:t>DeepSeek + Haiku, no chat</w:t>
            </w:r>
          </w:p>
        </w:tc>
        <w:tc>
          <w:tcPr>
            <w:tcW w:type="dxa" w:w="501"/>
          </w:tcPr>
          <w:p>
            <w:pPr>
              <w:keepNext/>
              <w:spacing w:after="20"/>
            </w:pPr>
            <w:r>
              <w:rPr>
                <w:sz w:val="16"/>
              </w:rPr>
              <w:t>30</w:t>
            </w:r>
          </w:p>
        </w:tc>
        <w:tc>
          <w:tcPr>
            <w:tcW w:type="dxa" w:w="1054"/>
          </w:tcPr>
          <w:p>
            <w:pPr>
              <w:keepNext/>
              <w:spacing w:after="20"/>
            </w:pPr>
            <w:r>
              <w:rPr>
                <w:sz w:val="16"/>
              </w:rPr>
              <w:t>86.25</w:t>
            </w:r>
          </w:p>
        </w:tc>
        <w:tc>
          <w:tcPr>
            <w:tcW w:type="dxa" w:w="998"/>
          </w:tcPr>
          <w:p>
            <w:pPr>
              <w:keepNext/>
              <w:spacing w:after="20"/>
            </w:pPr>
            <w:r>
              <w:rPr>
                <w:sz w:val="16"/>
              </w:rPr>
              <w:t>27</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+0.00</w:t>
            </w:r>
          </w:p>
        </w:tc>
      </w:tr>
      <w:tr>
        <w:trPr>
          <w:cantSplit/>
        </w:trPr>
        <w:tc>
          <w:tcPr>
            <w:tcW w:type="dxa" w:w="2539"/>
          </w:tcPr>
          <w:p>
            <w:pPr>
              <w:keepNext/>
              <w:spacing w:after="20"/>
            </w:pPr>
            <w:r>
              <w:rPr>
                <w:sz w:val="16"/>
              </w:rPr>
              <w:t>DeepSeek, chat</w:t>
            </w:r>
          </w:p>
        </w:tc>
        <w:tc>
          <w:tcPr>
            <w:tcW w:type="dxa" w:w="501"/>
          </w:tcPr>
          <w:p>
            <w:pPr>
              <w:keepNext/>
              <w:spacing w:after="20"/>
            </w:pPr>
            <w:r>
              <w:rPr>
                <w:sz w:val="16"/>
              </w:rPr>
              <w:t>30</w:t>
            </w:r>
          </w:p>
        </w:tc>
        <w:tc>
          <w:tcPr>
            <w:tcW w:type="dxa" w:w="1054"/>
          </w:tcPr>
          <w:p>
            <w:pPr>
              <w:keepNext/>
              <w:spacing w:after="20"/>
            </w:pPr>
            <w:r>
              <w:rPr>
                <w:sz w:val="16"/>
              </w:rPr>
              <w:t>86.01</w:t>
            </w:r>
          </w:p>
        </w:tc>
        <w:tc>
          <w:tcPr>
            <w:tcW w:type="dxa" w:w="998"/>
          </w:tcPr>
          <w:p>
            <w:pPr>
              <w:keepNext/>
              <w:spacing w:after="20"/>
            </w:pPr>
            <w:r>
              <w:rPr>
                <w:sz w:val="16"/>
              </w:rPr>
              <w:t>25</w:t>
            </w:r>
          </w:p>
        </w:tc>
        <w:tc>
          <w:tcPr>
            <w:tcW w:type="dxa" w:w="1165"/>
          </w:tcPr>
          <w:p>
            <w:pPr>
              <w:keepNext/>
              <w:spacing w:after="20"/>
            </w:pPr>
            <w:r>
              <w:rPr>
                <w:sz w:val="16"/>
              </w:rPr>
              <w:t>0</w:t>
            </w:r>
          </w:p>
        </w:tc>
        <w:tc>
          <w:tcPr>
            <w:tcW w:type="dxa" w:w="1488"/>
          </w:tcPr>
          <w:p>
            <w:pPr>
              <w:keepNext/>
              <w:spacing w:after="20"/>
            </w:pPr>
            <w:r>
              <w:rPr>
                <w:sz w:val="16"/>
              </w:rPr>
              <w:t>2 / 1</w:t>
            </w:r>
          </w:p>
        </w:tc>
        <w:tc>
          <w:tcPr>
            <w:tcW w:type="dxa" w:w="1328"/>
          </w:tcPr>
          <w:p>
            <w:pPr>
              <w:keepNext/>
              <w:spacing w:after="20"/>
            </w:pPr>
            <w:r>
              <w:rPr>
                <w:sz w:val="16"/>
              </w:rPr>
              <w:t>-0.01</w:t>
            </w:r>
          </w:p>
        </w:tc>
      </w:tr>
      <w:tr>
        <w:trPr>
          <w:cantSplit/>
        </w:trPr>
        <w:tc>
          <w:tcPr>
            <w:tcW w:type="dxa" w:w="2539"/>
          </w:tcPr>
          <w:p>
            <w:pPr>
              <w:keepNext/>
              <w:spacing w:after="20"/>
            </w:pPr>
            <w:r>
              <w:rPr>
                <w:sz w:val="16"/>
              </w:rPr>
              <w:t>DeepSeek + Haiku, chat</w:t>
            </w:r>
          </w:p>
        </w:tc>
        <w:tc>
          <w:tcPr>
            <w:tcW w:type="dxa" w:w="501"/>
          </w:tcPr>
          <w:p>
            <w:pPr>
              <w:keepNext/>
              <w:spacing w:after="20"/>
            </w:pPr>
            <w:r>
              <w:rPr>
                <w:sz w:val="16"/>
              </w:rPr>
              <w:t>30</w:t>
            </w:r>
          </w:p>
        </w:tc>
        <w:tc>
          <w:tcPr>
            <w:tcW w:type="dxa" w:w="1054"/>
          </w:tcPr>
          <w:p>
            <w:pPr>
              <w:keepNext/>
              <w:spacing w:after="20"/>
            </w:pPr>
            <w:r>
              <w:rPr>
                <w:sz w:val="16"/>
              </w:rPr>
              <w:t>86.21</w:t>
            </w:r>
          </w:p>
        </w:tc>
        <w:tc>
          <w:tcPr>
            <w:tcW w:type="dxa" w:w="998"/>
          </w:tcPr>
          <w:p>
            <w:pPr>
              <w:keepNext/>
              <w:spacing w:after="20"/>
            </w:pPr>
            <w:r>
              <w:rPr>
                <w:sz w:val="16"/>
              </w:rPr>
              <w:t>28</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+0.02</w:t>
            </w:r>
          </w:p>
        </w:tc>
      </w:tr>
      <w:tr>
        <w:trPr>
          <w:cantSplit/>
        </w:trPr>
        <w:tc>
          <w:tcPr>
            <w:tcW w:type="dxa" w:w="2539"/>
          </w:tcPr>
          <w:p>
            <w:pPr>
              <w:keepNext w:val="0"/>
              <w:spacing w:after="20"/>
            </w:pPr>
            <w:r>
              <w:rPr>
                <w:sz w:val="16"/>
              </w:rPr>
              <w:t>DeepSeek, instructed cartel</w:t>
            </w:r>
          </w:p>
        </w:tc>
        <w:tc>
          <w:tcPr>
            <w:tcW w:type="dxa" w:w="501"/>
          </w:tcPr>
          <w:p>
            <w:pPr>
              <w:keepNext w:val="0"/>
              <w:spacing w:after="20"/>
            </w:pPr>
            <w:r>
              <w:rPr>
                <w:sz w:val="16"/>
              </w:rPr>
              <w:t>30</w:t>
            </w:r>
          </w:p>
        </w:tc>
        <w:tc>
          <w:tcPr>
            <w:tcW w:type="dxa" w:w="1054"/>
          </w:tcPr>
          <w:p>
            <w:pPr>
              <w:keepNext w:val="0"/>
              <w:spacing w:after="20"/>
            </w:pPr>
            <w:r>
              <w:rPr>
                <w:sz w:val="16"/>
              </w:rPr>
              <w:t>88.96</w:t>
            </w:r>
          </w:p>
        </w:tc>
        <w:tc>
          <w:tcPr>
            <w:tcW w:type="dxa" w:w="998"/>
          </w:tcPr>
          <w:p>
            <w:pPr>
              <w:keepNext w:val="0"/>
              <w:spacing w:after="20"/>
            </w:pPr>
            <w:r>
              <w:rPr>
                <w:sz w:val="16"/>
              </w:rPr>
              <w:t>30</w:t>
            </w:r>
          </w:p>
        </w:tc>
        <w:tc>
          <w:tcPr>
            <w:tcW w:type="dxa" w:w="1165"/>
          </w:tcPr>
          <w:p>
            <w:pPr>
              <w:keepNext w:val="0"/>
              <w:spacing w:after="20"/>
            </w:pPr>
            <w:r>
              <w:rPr>
                <w:sz w:val="16"/>
              </w:rPr>
              <w:t>2</w:t>
            </w:r>
          </w:p>
        </w:tc>
        <w:tc>
          <w:tcPr>
            <w:tcW w:type="dxa" w:w="1488"/>
          </w:tcPr>
          <w:p>
            <w:pPr>
              <w:keepNext w:val="0"/>
              <w:spacing w:after="20"/>
            </w:pPr>
            <w:r>
              <w:rPr>
                <w:sz w:val="16"/>
              </w:rPr>
              <w:t>7 / 1</w:t>
            </w:r>
          </w:p>
        </w:tc>
        <w:tc>
          <w:tcPr>
            <w:tcW w:type="dxa" w:w="132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theory and a post-hoc comparison.</w:t>
      </w:r>
      <w:r>
        <w:rPr>
          <w:sz w:val="20"/>
        </w:rPr>
        <w:t xml:space="preserve"> Fig. A5 gives exact growth rates for one pair with three actions and two replays per agent, when one agent copies the other's move in a share of rounds. The likelihood-ratio bet of Proposition 3 grows fastest in every setting, close to the KL ceiling; the pre-registered joint bet loses evidence under shared skewed priors unless the channel is strong; the interaction bet matches the likelihood ratio here but fails when a channel shifts the marginals.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the likelihood-ratio bet for detecting a channel, the net-influence test for naming the pair.</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