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Auditors look for collusion between AI agents by testing whether their actions depend on each other, but agents that run on the same model behave alike without communicating. With four honest copies of Claude Haiku playing rock-paper-scissors, a standard mutual-information test accuses a pair in 69.3% of episodes and the Bonjour et al. rule in 61.3%; on Agrawal et al.'s (2025) published logs, it flags 8/10 double-auction runs in which sellers could not talk. We propose a replay test for auditors who can query deployed agents: each round, every agent is re-asked on exactly what it saw, with its private channel removed, and a pair is flagged only if their real moves depend on each other more than their replays do. The per-round null of this conditional randomization test is exact if logged and replayed calls are exchangeable, which a diagnostic supports for the main models; calibration over episodes is checked empirically. Across 550 honest LLM episodes (pre-registered) it flags 4.2% at α = 5%. In a procurement auction it names the colluding pair in 92.5% of episodes where a pricing vendor pools two clients' confidential costs, the mechanism alleged in Duffy v. Yardi, and flags 1.7% where the vendor uses only public data. It names 35% of Haiku and 10% of DeepSeek hidden-channel pairs. A sequential version, valid at any stopping time, named more pairs than the fixed test in a pre-registered replication. Coordination written into the agents' instructions is, by design, invisible to the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constant false alarms for a security team, false accusations for a regulator.</w:t>
      </w:r>
    </w:p>
    <w:p>
      <w:pPr>
        <w:spacing w:after="80" w:before="0"/>
        <w:jc w:val="both"/>
      </w:pPr>
      <w:r>
        <w:rPr>
          <w:b/>
          <w:sz w:val="20"/>
        </w:rPr>
        <w:t>Threat model.</w:t>
      </w:r>
      <w:r>
        <w:rPr>
          <w:sz w:val="20"/>
        </w:rPr>
        <w:t xml:space="preserve"> An operator, or a regulator's sandbox, runs several LLM agents, logs their actions,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(the idea and a first, non-exact version predate the sprint; Appendix E).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69.3%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each round's null exact.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spacing w:after="80" w:before="0"/>
        <w:jc w:val="both"/>
      </w:pPr>
      <w:r>
        <w:rPr>
          <w:b/>
          <w:sz w:val="20"/>
        </w:rPr>
        <w:t>Sprint questions.</w:t>
      </w:r>
      <w:r>
        <w:rPr>
          <w:sz w:val="20"/>
        </w:rPr>
        <w:t xml:space="preserve"> We answer 1.4 (net influence carried to LLM agents with a calibrated null) and 2.3 (the brief's three case types, coordinated harmful action, common incentives without agreement and talk without action,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that cut a compromised agent's attack success gave no measurable protection against colluding agents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Rose et al., we do not count observed public actions as communication. Collusion here is coordination </w:t>
      </w:r>
      <w:r>
        <w:rPr>
          <w:i/>
          <w:sz w:val="20"/>
        </w:rPr>
        <w:t>enabled by non-public information exchanged between agents</w:t>
      </w:r>
      <w:r>
        <w:rPr>
          <w:sz w:val="20"/>
        </w:rPr>
        <w:t>. Coordination that each agent's own policy produces from public information (Schelling points, shared priors, a team instruction with no channel) corresponds to conscious parallelism and is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which our auditor cannot see.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sequential version (§4.6) keeps its level under feedback; it was added after the freeze and replicated in a separate pre-registered sample on one model. The per-round null also assumes that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keeps the false-alarm rate in the auditor's hands and names pairs whose hidden information shapes their moves.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