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 names the true pair in 92.5% of games when the vendor pools confidential costs and flags 1.7% when it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(20/30 against 1/30), now under a fresh pre-registered test.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each within the interval of a 5% rate.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Its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confirmed it: 73.3% of new cartel games flagged against 3.3% without chat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in theory, the growth-optimal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m:oMath>
        <m:r>
          <m:t xml:space="preserve">P</m:t>
        </m:r>
      </m:oMath>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m:oMath>
        <m:r>
          <m:t xml:space="preserve">k</m:t>
        </m:r>
      </m:oMath>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m:oMath>
        <m:r>
          <m:t xml:space="preserve">k</m:t>
        </m:r>
      </m:oMath>
      <w:r>
        <w:rPr>
          <w:sz w:val="20"/>
        </w:rPr>
        <w:t xml:space="preserve"> inequality between the two divergences.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m:oMath>
        <m:r>
          <m:t xml:space="preserve">k</m:t>
        </m:r>
        <m:r>
          <m:rPr>
            <m:sty m:val="p"/>
          </m:rPr>
          <m:t xml:space="preserve">=</m:t>
        </m:r>
        <m:r>
          <m:t xml:space="preserve">2</m:t>
        </m:r>
      </m:oMath>
      <w:r>
        <w:rPr>
          <w:sz w:val="20"/>
        </w:rPr>
        <w:t xml:space="preserve"> this is a heuristic scale, not a bound.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