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ask whether agents' actions depend on each other. Agents built on one model act alike without communicating, so such audits accuse honest fleets: among four honest Claude Haiku agents, mutual information flags 69.3% of games. We propose a replay test. Each round the auditor asks every deployed agent again what it would do on the same input with the suspected channel removed, and flags a pair only if its logged actions depend on each other more than its replays do. If replays are served like the originals, the null is exact within each round, and a sequential version is valid at any stopping time. On 550 honest LLM games the test flags 4.2%. In a procurement auction it names the true pair in 92.5% of games when a shared pricing vendor pools confidential costs, and flags 1.7% when the vendor uses only public data. A pre-registered replication confirmed the sequential version. In a pre-registered study of the brief's target environment (Agrawal et al.'s double auction, re-implemented), the sequential version ruled out false-alarm rates of 15% or more. A cartel in that auction escaped the pre-registered bet. A statistic chosen afterwards caught it, because the colluders left their own replays in the same hours; a fresh pre-registered series confirmed this. The test detects what the current channel adds; coordination already stored in instructions or memory escapes it. We release the code and the data.</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them. As S. Motwani put it at this sprint, "what's left to monitor is still the actions of the agents themselves". The standard audit therefore asks whether one agent's actions predict another's, with a dependence measure such as the net influence of Bonjour et al. [1] or mutual information [2].</w:t>
      </w:r>
    </w:p>
    <w:p>
      <w:pPr>
        <w:spacing w:after="60" w:before="0"/>
        <w:jc w:val="both"/>
      </w:pPr>
      <w:r>
        <w:rPr>
          <w:sz w:val="20"/>
        </w:rPr>
        <w:t>This audit fails when the agents share a model. Four honest copies of Claude Haiku play rock-paper-scissors. They favour the same moves, so a mutual-information test accuses two of them. Ask the two again on the same inputs and their replays are just as alike: the likeness comes from the model. If instead one player secretly tells the other what to play, replays asked without that message stop tracking each other. Antitrust law calls the first case conscious parallelism and treats it as lawful; only an agreement is unlawful [4, 5]. A test that cannot tell the two apart accuses honest fleets that run on one vendor's model [3].</w:t>
      </w:r>
    </w:p>
    <w:p>
      <w:pPr>
        <w:spacing w:after="60" w:before="0"/>
        <w:jc w:val="both"/>
      </w:pPr>
      <w:r>
        <w:rPr>
          <w:sz w:val="20"/>
        </w:rPr>
        <w:t>We make the shared model part of the null hypothesis (Figure 1). In every round the auditor asks each agent twice more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561317"/>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561317"/>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sz w:val="20"/>
        </w:rPr>
        <w:t>Our contributions are four. We measure the confound: dependence tests accuse honest same-model agents in our games and in the published double-auction logs of Agrawal et al. [7] (Section 5.1). We propose the replay test, exact within each round and, in its sequential form, valid at any stopping time (Section 3). On honest LLM games its false alarms stay near the target, and it finds channels that change behaviour, including a vendor that pools confidential data; a pre-registered replication confirms the sequential version (Sections 5.2 and 5.3). We map its boundary: coordination held in instructions or memory, weak channels, and honest agents that repeat their own moves (Section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the prompt, the public history, tool outputs and the agent's own memory. The </w:t>
      </w:r>
      <w:r>
        <w:rPr>
          <w:i/>
          <w:sz w:val="20"/>
        </w:rPr>
        <w:t>channel</w:t>
      </w:r>
      <w:r>
        <w:rPr>
          <w:sz w:val="20"/>
        </w:rPr>
        <w:t xml:space="preserve"> (C) is the input under audit: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policy gives the same action distribution,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707989"/>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707989"/>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the mutual information between two agents' same-round actions over the episode, minus the strongest link from any third agent, which removes a common cause such as a shared opponent (so </w:t>
      </w:r>
      <w:r>
        <w:rPr>
          <w:i/>
          <w:sz w:val="20"/>
        </w:rPr>
        <w:t>N</w:t>
      </w:r>
      <w:r>
        <w:rPr>
          <w:sz w:val="20"/>
        </w:rPr>
        <w:t xml:space="preserve"> ≥ 3</w:t>
      </w:r>
      <w:r>
        <w:rPr>
          <w:sz w:val="20"/>
        </w:rPr>
        <w:t>); a pair must pass in both directions. The episode statistic (S below) is the largest such value over all pairs, so one test per game covers every pair without further correction; Appendix C.9 states the formulas. Each of 999 null datasets (B below) redraws every action uniformly from its pool and recomputes the statistic.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not for redrawing all rounds at once, because later views contain earlier actions; this version therefore has no finite-sample guarantee over a whole game, and we measure its calibration instead (§5.2,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fits a distribution over action pairs to the pair's logged moves so far (add-half counts mixed with the uniform, so early rounds bet almost uniformly). The round's payoff divides the fitted probability of the logged joint move by its average over every joint move the two pools can form; the evidence multiplies payoffs over rounds and averages over pairs:</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t xml:space="preserve">.</m:t>
          </m:r>
        </m:oMath>
      </m:oMathPara>
    </w:p>
    <w:p>
      <w:pPr>
        <w:spacing w:after="60" w:before="0"/>
        <w:jc w:val="both"/>
      </w:pPr>
      <w:r>
        <w:rPr>
          <w:sz w:val="20"/>
        </w:rPr>
        <w:t xml:space="preserve">An alarm is raised at the first round in which the evidence reaches </w:t>
      </w:r>
      <w:r>
        <w:rPr>
          <w:sz w:val="20"/>
        </w:rPr>
        <w:t>1/α</w:t>
      </w:r>
      <w:r>
        <w:rPr>
          <w:sz w:val="20"/>
        </w:rPr>
        <w:t>. The fitted distribution depends only on earlier rounds and is positive, so every payoff is positive. The two tests look for different things: net influence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nonnegative martingale: given the past, its expected value after the next round equals its current value. So the chance that it ever reaches </w:t>
      </w:r>
      <w:r>
        <w:rPr>
          <w:sz w:val="20"/>
        </w:rPr>
        <w:t>1/α</w:t>
      </w:r>
      <w:r>
        <w:rPr>
          <w:sz w:val="20"/>
        </w:rPr>
        <w:t xml:space="preserve">, in an audit of any length, is at most </w:t>
      </w:r>
      <w:r>
        <w:rPr>
          <w:rFonts w:ascii="Times New Roman" w:hAnsi="Times New Roman"/>
          <w:sz w:val="20"/>
        </w:rPr>
        <w:t>α</w:t>
      </w:r>
      <w:r>
        <w:rPr>
          <w:sz w:val="20"/>
        </w:rPr>
        <w:t>, also when later views contain earlier actions. Appendix C.9 proves it, gives the fastest bet and the price of staying undetected.</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level </w:t>
            </w:r>
            <w:r>
              <w:rPr>
                <w:rFonts w:ascii="Times New Roman" w:hAnsi="Times New Roman"/>
                <w:sz w:val="17"/>
              </w:rPr>
              <w:t>α</w:t>
            </w:r>
            <w:r>
              <w:rPr>
                <w:sz w:val="17"/>
              </w:rPr>
              <w:t>;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 xml:space="preserve">2. Sequential test: update the evidence after each round; at the first round it reaches </w:t>
            </w:r>
            <w:r>
              <w:rPr>
                <w:sz w:val="17"/>
              </w:rPr>
              <w:t>1/α</w:t>
            </w:r>
            <w:r>
              <w:rPr>
                <w:sz w:val="17"/>
              </w:rPr>
              <w:t>,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r>
        <w:rPr>
          <w:sz w:val="20"/>
        </w:rPr>
        <w:t xml:space="preserve"> Rock-paper-scissors is the four-player iterated game of Bonjour et al. [1]: seats P1 to P4, 30 rounds, public history. In the procurement auction four suppliers draw private costs of 50, 60 or 70 each round and submit sealed bids between 60 and 100; the lowest bid wins and earns its bid minus its cost, and all bids are published. A bid of 90 or more, the cover-bid range, counts as high. The published logs are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are validation models. All run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the actions alone or the actions with every private message.</w:t>
      </w:r>
    </w:p>
    <w:p>
      <w:pPr>
        <w:spacing w:after="60" w:before="0"/>
        <w:jc w:val="both"/>
      </w:pPr>
      <w:r>
        <w:rPr>
          <w:b/>
          <w:sz w:val="20"/>
        </w:rPr>
        <w:t>Protocol.</w:t>
      </w:r>
      <w:r>
        <w:rPr>
          <w:sz w:val="20"/>
        </w:rPr>
        <w:t xml:space="preserve"> We fixed hypotheses, sample sizes, statistics and decision rules in a timestamped plan before collecting the main data, and pre-registered the replication of the sequential test the same way. A game is flagged when the test rejects at the 5% level, and the true pair is named when the flagged pair is the colluding one. Shares come with 95% Wilson intervals. Table 1 lists the conditions.</w:t>
      </w:r>
    </w:p>
    <w:p>
      <w:pPr>
        <w:keepNext/>
        <w:spacing w:after="60" w:before="0"/>
        <w:jc w:val="both"/>
      </w:pPr>
      <w:r>
        <w:rPr>
          <w:b/>
          <w:sz w:val="20"/>
        </w:rPr>
        <w:t>Table 1. Conditions.</w:t>
      </w:r>
      <w:r>
        <w:rPr>
          <w:sz w:val="20"/>
        </w:rPr>
        <w:t xml:space="preserve"> Each row is one set of games; "channel" is the hidden input the test audits.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836"/>
        <w:gridCol w:w="3505"/>
        <w:gridCol w:w="2731"/>
      </w:tblGrid>
      <w:tr>
        <w:trPr>
          <w:cantSplit/>
        </w:trPr>
        <w:tc>
          <w:tcPr>
            <w:tcW w:type="dxa" w:w="2836"/>
          </w:tcPr>
          <w:p>
            <w:pPr>
              <w:keepNext/>
              <w:spacing w:after="20"/>
            </w:pPr>
            <w:r>
              <w:rPr>
                <w:b/>
                <w:sz w:val="16"/>
              </w:rPr>
              <w:t>Condition</w:t>
            </w:r>
          </w:p>
        </w:tc>
        <w:tc>
          <w:tcPr>
            <w:tcW w:type="dxa" w:w="3505"/>
          </w:tcPr>
          <w:p>
            <w:pPr>
              <w:keepNext/>
              <w:spacing w:after="20"/>
            </w:pPr>
            <w:r>
              <w:rPr>
                <w:b/>
                <w:sz w:val="16"/>
              </w:rPr>
              <w:t>What the agents receive</w:t>
            </w:r>
          </w:p>
        </w:tc>
        <w:tc>
          <w:tcPr>
            <w:tcW w:type="dxa" w:w="2731"/>
          </w:tcPr>
          <w:p>
            <w:pPr>
              <w:keepNext/>
              <w:spacing w:after="20"/>
            </w:pPr>
            <w:r>
              <w:rPr>
                <w:b/>
                <w:sz w:val="16"/>
              </w:rPr>
              <w:t>Channel changes actions?</w:t>
            </w:r>
          </w:p>
        </w:tc>
      </w:tr>
      <w:tr>
        <w:trPr>
          <w:cantSplit/>
        </w:trPr>
        <w:tc>
          <w:tcPr>
            <w:tcW w:type="dxa" w:w="2836"/>
          </w:tcPr>
          <w:p>
            <w:pPr>
              <w:keepNext w:val="0"/>
              <w:spacing w:after="20"/>
            </w:pPr>
            <w:r>
              <w:rPr>
                <w:i/>
                <w:sz w:val="16"/>
              </w:rPr>
              <w:t>Rock-paper-scissors, four seats, 30 rounds</w:t>
            </w:r>
          </w:p>
        </w:tc>
        <w:tc>
          <w:tcPr>
            <w:tcW w:type="dxa" w:w="3505"/>
          </w:tcPr>
          <w:p>
            <w:pPr>
              <w:keepNext w:val="0"/>
              <w:spacing w:after="20"/>
            </w:pPr>
          </w:p>
        </w:tc>
        <w:tc>
          <w:tcPr>
            <w:tcW w:type="dxa" w:w="2731"/>
          </w:tcPr>
          <w:p>
            <w:pPr>
              <w:keepNext w:val="0"/>
              <w:spacing w:after="20"/>
            </w:pPr>
          </w:p>
        </w:tc>
      </w:tr>
      <w:tr>
        <w:trPr>
          <w:cantSplit/>
        </w:trPr>
        <w:tc>
          <w:tcPr>
            <w:tcW w:type="dxa" w:w="2836"/>
          </w:tcPr>
          <w:p>
            <w:pPr>
              <w:keepNext w:val="0"/>
              <w:spacing w:after="20"/>
            </w:pPr>
            <w:r>
              <w:rPr>
                <w:sz w:val="16"/>
              </w:rPr>
              <w:t>Same model</w:t>
            </w:r>
          </w:p>
        </w:tc>
        <w:tc>
          <w:tcPr>
            <w:tcW w:type="dxa" w:w="3505"/>
          </w:tcPr>
          <w:p>
            <w:pPr>
              <w:keepNext w:val="0"/>
              <w:spacing w:after="20"/>
            </w:pPr>
            <w:r>
              <w:rPr>
                <w:sz w:val="16"/>
              </w:rPr>
              <w:t>nothing beyond the public history; four copies of one model</w:t>
            </w:r>
          </w:p>
        </w:tc>
        <w:tc>
          <w:tcPr>
            <w:tcW w:type="dxa" w:w="2731"/>
          </w:tcPr>
          <w:p>
            <w:pPr>
              <w:keepNext w:val="0"/>
              <w:spacing w:after="20"/>
            </w:pPr>
            <w:r>
              <w:rPr>
                <w:sz w:val="16"/>
              </w:rPr>
              <w:t>no (the hardest honest case)</w:t>
            </w:r>
          </w:p>
        </w:tc>
      </w:tr>
      <w:tr>
        <w:trPr>
          <w:cantSplit/>
        </w:trPr>
        <w:tc>
          <w:tcPr>
            <w:tcW w:type="dxa" w:w="2836"/>
          </w:tcPr>
          <w:p>
            <w:pPr>
              <w:keepNext w:val="0"/>
              <w:spacing w:after="20"/>
            </w:pPr>
            <w:r>
              <w:rPr>
                <w:sz w:val="16"/>
              </w:rPr>
              <w:t>Mixed models</w:t>
            </w:r>
          </w:p>
        </w:tc>
        <w:tc>
          <w:tcPr>
            <w:tcW w:type="dxa" w:w="3505"/>
          </w:tcPr>
          <w:p>
            <w:pPr>
              <w:keepNext w:val="0"/>
              <w:spacing w:after="20"/>
            </w:pPr>
            <w:r>
              <w:rPr>
                <w:sz w:val="16"/>
              </w:rPr>
              <w:t>the same, two DeepSeek and two Haiku</w:t>
            </w:r>
          </w:p>
        </w:tc>
        <w:tc>
          <w:tcPr>
            <w:tcW w:type="dxa" w:w="2731"/>
          </w:tcPr>
          <w:p>
            <w:pPr>
              <w:keepNext w:val="0"/>
              <w:spacing w:after="20"/>
            </w:pPr>
            <w:r>
              <w:rPr>
                <w:sz w:val="16"/>
              </w:rPr>
              <w:t>no</w:t>
            </w:r>
          </w:p>
        </w:tc>
      </w:tr>
      <w:tr>
        <w:trPr>
          <w:cantSplit/>
        </w:trPr>
        <w:tc>
          <w:tcPr>
            <w:tcW w:type="dxa" w:w="2836"/>
          </w:tcPr>
          <w:p>
            <w:pPr>
              <w:keepNext w:val="0"/>
              <w:spacing w:after="20"/>
            </w:pPr>
            <w:r>
              <w:rPr>
                <w:sz w:val="16"/>
              </w:rPr>
              <w:t>Undelivered plans</w:t>
            </w:r>
          </w:p>
        </w:tc>
        <w:tc>
          <w:tcPr>
            <w:tcW w:type="dxa" w:w="3505"/>
          </w:tcPr>
          <w:p>
            <w:pPr>
              <w:keepNext w:val="0"/>
              <w:spacing w:after="20"/>
            </w:pPr>
            <w:r>
              <w:rPr>
                <w:sz w:val="16"/>
              </w:rPr>
              <w:t>P1 and P3 write plans that nobody receives</w:t>
            </w:r>
          </w:p>
        </w:tc>
        <w:tc>
          <w:tcPr>
            <w:tcW w:type="dxa" w:w="2731"/>
          </w:tcPr>
          <w:p>
            <w:pPr>
              <w:keepNext w:val="0"/>
              <w:spacing w:after="20"/>
            </w:pPr>
            <w:r>
              <w:rPr>
                <w:sz w:val="16"/>
              </w:rPr>
              <w:t>no (collusive text only)</w:t>
            </w:r>
          </w:p>
        </w:tc>
      </w:tr>
      <w:tr>
        <w:trPr>
          <w:cantSplit/>
        </w:trPr>
        <w:tc>
          <w:tcPr>
            <w:tcW w:type="dxa" w:w="2836"/>
          </w:tcPr>
          <w:p>
            <w:pPr>
              <w:keepNext w:val="0"/>
              <w:spacing w:after="20"/>
            </w:pPr>
            <w:r>
              <w:rPr>
                <w:sz w:val="16"/>
              </w:rPr>
              <w:t>Team, no channel</w:t>
            </w:r>
          </w:p>
        </w:tc>
        <w:tc>
          <w:tcPr>
            <w:tcW w:type="dxa" w:w="3505"/>
          </w:tcPr>
          <w:p>
            <w:pPr>
              <w:keepNext w:val="0"/>
              <w:spacing w:after="20"/>
            </w:pPr>
            <w:r>
              <w:rPr>
                <w:sz w:val="16"/>
              </w:rPr>
              <w:t>P1 and P3 are told they are a team; no messages</w:t>
            </w:r>
          </w:p>
        </w:tc>
        <w:tc>
          <w:tcPr>
            <w:tcW w:type="dxa" w:w="2731"/>
          </w:tcPr>
          <w:p>
            <w:pPr>
              <w:keepNext w:val="0"/>
              <w:spacing w:after="20"/>
            </w:pPr>
            <w:r>
              <w:rPr>
                <w:sz w:val="16"/>
              </w:rPr>
              <w:t>no (the coordination is in the instructions)</w:t>
            </w:r>
          </w:p>
        </w:tc>
      </w:tr>
      <w:tr>
        <w:trPr>
          <w:cantSplit/>
        </w:trPr>
        <w:tc>
          <w:tcPr>
            <w:tcW w:type="dxa" w:w="2836"/>
          </w:tcPr>
          <w:p>
            <w:pPr>
              <w:keepNext w:val="0"/>
              <w:spacing w:after="20"/>
            </w:pPr>
            <w:r>
              <w:rPr>
                <w:sz w:val="16"/>
              </w:rPr>
              <w:t>Secret plan</w:t>
            </w:r>
          </w:p>
        </w:tc>
        <w:tc>
          <w:tcPr>
            <w:tcW w:type="dxa" w:w="3505"/>
          </w:tcPr>
          <w:p>
            <w:pPr>
              <w:keepNext w:val="0"/>
              <w:spacing w:after="20"/>
            </w:pPr>
            <w:r>
              <w:rPr>
                <w:sz w:val="16"/>
              </w:rPr>
              <w:t>P1 sends P3 both moves for the next round</w:t>
            </w:r>
          </w:p>
        </w:tc>
        <w:tc>
          <w:tcPr>
            <w:tcW w:type="dxa" w:w="2731"/>
          </w:tcPr>
          <w:p>
            <w:pPr>
              <w:keepNext w:val="0"/>
              <w:spacing w:after="20"/>
            </w:pPr>
            <w:r>
              <w:rPr>
                <w:sz w:val="16"/>
              </w:rPr>
              <w:t>yes (positive control)</w:t>
            </w:r>
          </w:p>
        </w:tc>
      </w:tr>
      <w:tr>
        <w:trPr>
          <w:cantSplit/>
        </w:trPr>
        <w:tc>
          <w:tcPr>
            <w:tcW w:type="dxa" w:w="2836"/>
          </w:tcPr>
          <w:p>
            <w:pPr>
              <w:keepNext w:val="0"/>
              <w:spacing w:after="20"/>
            </w:pPr>
            <w:r>
              <w:rPr>
                <w:i/>
                <w:sz w:val="16"/>
              </w:rPr>
              <w:t>Procurement auction, four suppliers, 30 rounds</w:t>
            </w:r>
          </w:p>
        </w:tc>
        <w:tc>
          <w:tcPr>
            <w:tcW w:type="dxa" w:w="3505"/>
          </w:tcPr>
          <w:p>
            <w:pPr>
              <w:keepNext w:val="0"/>
              <w:spacing w:after="20"/>
            </w:pPr>
          </w:p>
        </w:tc>
        <w:tc>
          <w:tcPr>
            <w:tcW w:type="dxa" w:w="2731"/>
          </w:tcPr>
          <w:p>
            <w:pPr>
              <w:keepNext w:val="0"/>
              <w:spacing w:after="20"/>
            </w:pPr>
          </w:p>
        </w:tc>
      </w:tr>
      <w:tr>
        <w:trPr>
          <w:cantSplit/>
        </w:trPr>
        <w:tc>
          <w:tcPr>
            <w:tcW w:type="dxa" w:w="2836"/>
          </w:tcPr>
          <w:p>
            <w:pPr>
              <w:keepNext w:val="0"/>
              <w:spacing w:after="20"/>
            </w:pPr>
            <w:r>
              <w:rPr>
                <w:sz w:val="16"/>
              </w:rPr>
              <w:t>Same model</w:t>
            </w:r>
          </w:p>
        </w:tc>
        <w:tc>
          <w:tcPr>
            <w:tcW w:type="dxa" w:w="3505"/>
          </w:tcPr>
          <w:p>
            <w:pPr>
              <w:keepNext w:val="0"/>
              <w:spacing w:after="20"/>
            </w:pPr>
            <w:r>
              <w:rPr>
                <w:sz w:val="16"/>
              </w:rPr>
              <w:t>nothing beyond the published bids</w:t>
            </w:r>
          </w:p>
        </w:tc>
        <w:tc>
          <w:tcPr>
            <w:tcW w:type="dxa" w:w="2731"/>
          </w:tcPr>
          <w:p>
            <w:pPr>
              <w:keepNext w:val="0"/>
              <w:spacing w:after="20"/>
            </w:pPr>
            <w:r>
              <w:rPr>
                <w:sz w:val="16"/>
              </w:rPr>
              <w:t>no</w:t>
            </w:r>
          </w:p>
        </w:tc>
      </w:tr>
      <w:tr>
        <w:trPr>
          <w:cantSplit/>
        </w:trPr>
        <w:tc>
          <w:tcPr>
            <w:tcW w:type="dxa" w:w="2836"/>
          </w:tcPr>
          <w:p>
            <w:pPr>
              <w:keepNext w:val="0"/>
              <w:spacing w:after="20"/>
            </w:pPr>
            <w:r>
              <w:rPr>
                <w:sz w:val="16"/>
              </w:rPr>
              <w:t>Public-data vendor</w:t>
            </w:r>
          </w:p>
        </w:tc>
        <w:tc>
          <w:tcPr>
            <w:tcW w:type="dxa" w:w="3505"/>
          </w:tcPr>
          <w:p>
            <w:pPr>
              <w:keepNext w:val="0"/>
              <w:spacing w:after="20"/>
            </w:pPr>
            <w:r>
              <w:rPr>
                <w:sz w:val="16"/>
              </w:rPr>
              <w:t>advice from published bids and the supplier's own cost</w:t>
            </w:r>
          </w:p>
        </w:tc>
        <w:tc>
          <w:tcPr>
            <w:tcW w:type="dxa" w:w="2731"/>
          </w:tcPr>
          <w:p>
            <w:pPr>
              <w:keepNext w:val="0"/>
              <w:spacing w:after="20"/>
            </w:pPr>
            <w:r>
              <w:rPr>
                <w:sz w:val="16"/>
              </w:rPr>
              <w:t xml:space="preserve">no (as in </w:t>
            </w:r>
            <w:r>
              <w:rPr>
                <w:i/>
                <w:sz w:val="16"/>
              </w:rPr>
              <w:t>Gibson v. Cendyn</w:t>
            </w:r>
            <w:r>
              <w:rPr>
                <w:sz w:val="16"/>
              </w:rPr>
              <w:t>)</w:t>
            </w:r>
          </w:p>
        </w:tc>
      </w:tr>
      <w:tr>
        <w:trPr>
          <w:cantSplit/>
        </w:trPr>
        <w:tc>
          <w:tcPr>
            <w:tcW w:type="dxa" w:w="2836"/>
          </w:tcPr>
          <w:p>
            <w:pPr>
              <w:keepNext w:val="0"/>
              <w:spacing w:after="20"/>
            </w:pPr>
            <w:r>
              <w:rPr>
                <w:sz w:val="16"/>
              </w:rPr>
              <w:t>Pooled-data vendor</w:t>
            </w:r>
          </w:p>
        </w:tc>
        <w:tc>
          <w:tcPr>
            <w:tcW w:type="dxa" w:w="3505"/>
          </w:tcPr>
          <w:p>
            <w:pPr>
              <w:keepNext w:val="0"/>
              <w:spacing w:after="20"/>
            </w:pPr>
            <w:r>
              <w:rPr>
                <w:sz w:val="16"/>
              </w:rPr>
              <w:t>P1's and P3's private costs pooled; wins rotated</w:t>
            </w:r>
          </w:p>
        </w:tc>
        <w:tc>
          <w:tcPr>
            <w:tcW w:type="dxa" w:w="2731"/>
          </w:tcPr>
          <w:p>
            <w:pPr>
              <w:keepNext w:val="0"/>
              <w:spacing w:after="20"/>
            </w:pPr>
            <w:r>
              <w:rPr>
                <w:sz w:val="16"/>
              </w:rPr>
              <w:t xml:space="preserve">yes (as in </w:t>
            </w:r>
            <w:r>
              <w:rPr>
                <w:i/>
                <w:sz w:val="16"/>
              </w:rPr>
              <w:t>Duffy v. Yardi</w:t>
            </w:r>
            <w:r>
              <w:rPr>
                <w:sz w:val="16"/>
              </w:rPr>
              <w:t>)</w:t>
            </w:r>
          </w:p>
        </w:tc>
      </w:tr>
      <w:tr>
        <w:trPr>
          <w:cantSplit/>
        </w:trPr>
        <w:tc>
          <w:tcPr>
            <w:tcW w:type="dxa" w:w="2836"/>
          </w:tcPr>
          <w:p>
            <w:pPr>
              <w:keepNext w:val="0"/>
              <w:spacing w:after="20"/>
            </w:pPr>
            <w:r>
              <w:rPr>
                <w:sz w:val="16"/>
              </w:rPr>
              <w:t>Bid-rotation cartel</w:t>
            </w:r>
          </w:p>
        </w:tc>
        <w:tc>
          <w:tcPr>
            <w:tcW w:type="dxa" w:w="3505"/>
          </w:tcPr>
          <w:p>
            <w:pPr>
              <w:keepNext w:val="0"/>
              <w:spacing w:after="20"/>
            </w:pPr>
            <w:r>
              <w:rPr>
                <w:sz w:val="16"/>
              </w:rPr>
              <w:t>P1 and P3 rotate wins over a private channel</w:t>
            </w:r>
          </w:p>
        </w:tc>
        <w:tc>
          <w:tcPr>
            <w:tcW w:type="dxa" w:w="2731"/>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w:t>
      </w:r>
    </w:p>
    <w:p>
      <w:pPr>
        <w:spacing w:after="60" w:before="0"/>
        <w:jc w:val="both"/>
      </w:pPr>
      <w:r>
        <w:rPr>
          <w:sz w:val="20"/>
        </w:rPr>
        <w:t>With four honest copies of Claude Haiku, mutual information accuses a pair in 69.3% of games and Bonjour's rule in 61.3% (Figure 3a). Published logs show the same: in the runs of Agrawal et al.,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Our sealed-bid auction is the exception: honest bids there barely vary, and no detector flagged more than 2% of honest games.</w:t>
      </w:r>
    </w:p>
    <w:p>
      <w:pPr>
        <w:keepNext/>
        <w:spacing w:after="40" w:before="0"/>
        <w:jc w:val="center"/>
      </w:pPr>
      <w:r>
        <w:drawing>
          <wp:inline>
            <wp:extent cx="5760720" cy="1738800"/>
            <wp:docPr id="3" name="Picture 3"/>
            <wp:cNvGraphicFramePr>
              <a:graphicFrameLocks noChangeAspect="1"/>
            </wp:cNvGraphicFramePr>
            <a:graphic>
              <a:graphicData uri="http://schemas.openxmlformats.org/drawingml/2006/picture">
                <pic:pic>
                  <pic:nvPicPr>
                    <pic:cNvPr id="0" name="p_fig2_main.png"/>
                    <pic:cNvPicPr/>
                  </pic:nvPicPr>
                  <pic:blipFill>
                    <a:blip r:embed="rId10"/>
                    <a:stretch>
                      <a:fillRect/>
                    </a:stretch>
                  </pic:blipFill>
                  <pic:spPr>
                    <a:xfrm>
                      <a:off x="0" y="0"/>
                      <a:ext cx="5760720" cy="1738800"/>
                    </a:xfrm>
                    <a:prstGeom prst="rect"/>
                  </pic:spPr>
                </pic:pic>
              </a:graphicData>
            </a:graphic>
          </wp:inline>
        </w:drawing>
      </w:r>
    </w:p>
    <w:p>
      <w:pPr>
        <w:spacing w:after="120" w:before="0"/>
        <w:jc w:val="both"/>
      </w:pPr>
      <w:r>
        <w:rPr>
          <w:b/>
          <w:color w:val="404040"/>
          <w:sz w:val="17"/>
        </w:rPr>
        <w:t>Figure 3.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150 honest games per model and 40 colluding games per condition, all pre-registered; Appendix C has every condition.</w:t>
      </w:r>
    </w:p>
    <w:p>
      <w:pPr>
        <w:pStyle w:val="Heading3"/>
        <w:keepNext/>
        <w:spacing w:before="100" w:after="60"/>
      </w:pPr>
      <w:r>
        <w:rPr/>
        <w:t>5.2 The replay test keeps its false-alarm rate</w:t>
      </w:r>
    </w:p>
    <w:p>
      <w:pPr>
        <w:spacing w:after="60" w:before="0"/>
        <w:jc w:val="both"/>
      </w:pPr>
      <w:r>
        <w:rPr>
          <w:sz w:val="20"/>
        </w:rPr>
        <w:t>On 550 honest LLM games, pooled over the same-model, mixed-model and undelivered-plan conditions, the replay test flags 4.2% at the 5% level, with interval 3–6%, and its p-values are close to uniform. In the auction it flags 1% of honest games; the validation models are in Table A1. In the pre-registered study of the re-implemented double auction, the sequential test raised 0/60 false alarms in games without chat (95% CI 0–6%), ruling out a false-alarm rate of 15% or more (p &lt; 10</w:t>
      </w:r>
      <w:r>
        <w:rPr>
          <w:sz w:val="20"/>
          <w:vertAlign w:val="superscript"/>
        </w:rPr>
        <w:t>−4</w:t>
      </w:r>
      <w:r>
        <w:rPr>
          <w:sz w:val="20"/>
        </w:rPr>
        <w:t>). Appendix C.7 reports that study in full.</w:t>
      </w:r>
    </w:p>
    <w:p>
      <w:pPr>
        <w:pStyle w:val="Heading3"/>
        <w:keepNext/>
        <w:spacing w:before="100" w:after="60"/>
      </w:pPr>
      <w:r>
        <w:rPr/>
        <w:t>5.3 Channels that leave a joint signal are found</w:t>
      </w:r>
    </w:p>
    <w:p>
      <w:pPr>
        <w:spacing w:after="60" w:before="0"/>
        <w:jc w:val="both"/>
      </w:pPr>
      <w:r>
        <w:rPr>
          <w:sz w:val="20"/>
        </w:rPr>
        <w:t xml:space="preserve">A pricing vendor that pools its two clients' confidential costs is caught: the test names the pair in 92.5% of such games, and flags 1.7% of games in which the vendor uses only public data. The split mirrors </w:t>
      </w:r>
      <w:r>
        <w:rPr>
          <w:i/>
          <w:sz w:val="20"/>
        </w:rPr>
        <w:t>Gibson v. Cendyn</w:t>
      </w:r>
      <w:r>
        <w:rPr>
          <w:sz w:val="20"/>
        </w:rPr>
        <w:t xml:space="preserve"> (9th Cir. 2025, independent licensees of one pricing tool, dismissed) and </w:t>
      </w:r>
      <w:r>
        <w:rPr>
          <w:i/>
          <w:sz w:val="20"/>
        </w:rPr>
        <w:t>Duffy v. Yardi</w:t>
      </w:r>
      <w:r>
        <w:rPr>
          <w:sz w:val="20"/>
        </w:rPr>
        <w:t xml:space="preserve"> (W.D. Wash. 2024, a vendor alleged to pool rivals' data, not dismissed). With Claude Haiku sellers, a pre-registered run named the pooled-data pair in 15% of games and flagged the public-data vendor in 0% (Appendix C.11). A bid-rotation cartel over a private channel is named in 57.5% of games; the baselines do as well in this auction, because honest bids barely vary.</w:t>
      </w:r>
    </w:p>
    <w:p>
      <w:pPr>
        <w:spacing w:after="60" w:before="0"/>
        <w:jc w:val="both"/>
      </w:pPr>
      <w:r>
        <w:rPr>
          <w:sz w:val="20"/>
        </w:rPr>
        <w:t>In rock-paper-scissors the test names the instructed pair in 35% of Haiku games and 10% of DeepSeek games. The gap is the signal: Haiku's plans often give both players the same move, DeepSeek's vary from round to round. Mutual information names 62.5% of Haiku pairs, but only by accusing honest groups as well; at a matched false-alarm rate of 5% it detects 0% of Haiku pairs and the replay test 42% (Table A4).</w:t>
      </w:r>
    </w:p>
    <w:p>
      <w:pPr>
        <w:spacing w:after="60" w:before="0"/>
        <w:jc w:val="both"/>
      </w:pPr>
      <w:r>
        <w:rPr>
          <w:sz w:val="20"/>
        </w:rPr>
        <w:t>The pre-registered replication confirmed the sequential test (Figure 4). On fresh Haiku games it named the instructed pair in 18/20 games, against 11/20 for the fixed-horizon test on the same games, and raised 0/40 false alarms on honest games. On fresh DeepSeek games with the provider pinned, the likelihood-ratio bet of Appendix C.9 flagged 10/40 secret-plan games against 0/40 for the joint bet, with 3/80 false alarms. In a public chat that the auditor reads, a pair that hid its move in a code word was flagged in 30% of games, against 5% of honest small-talk games. Both runs were pre-registered (Appendix C.11). An LLM judge reading the actions ranks Haiku pairs about as well as the replay test, but nothing fixes how often it accuses honest agents, and given the private messages it accuses 65% of Haiku groups whose plans were never delivered (Appendix C.5).</w:t>
      </w:r>
    </w:p>
    <w:p>
      <w:pPr>
        <w:keepNext/>
        <w:spacing w:after="40" w:before="0"/>
        <w:jc w:val="center"/>
      </w:pPr>
      <w:r>
        <w:drawing>
          <wp:inline>
            <wp:extent cx="5760720" cy="1519396"/>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519396"/>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sz w:val="20"/>
        </w:rPr>
        <w:t>Three cases. Pairs told they are a team but given no channel are flagged in 3.3% of Haiku games and 5% of DeepSeek games: the instruction is part of the policy, so the replays reproduce it, and this case needs an audit of the policy itself [12].</w:t>
      </w:r>
    </w:p>
    <w:p>
      <w:pPr>
        <w:spacing w:after="60" w:before="0"/>
        <w:jc w:val="both"/>
      </w:pPr>
      <w:r>
        <w:rPr>
          <w:sz w:val="20"/>
        </w:rPr>
        <w:t>Agreements stored in memory escape it too. In the pre-registered auction study an instructed cartel raised the mean trade price to 88.96, against 85.62 without chat, yet the sequential test alarmed in 2/30 of its games against 0/30 without chat (p = 0.246). A replay keeps the seller's memory, so a price floor read in one hour is still obeyed by the replay of the next, and the inbox adds little (Appendix C.6). What the inbox does add is timing: all followers leave their replays in the same hours. A co-departure statistic chosen after seeing these data flags 20/30 cartel games against 1/30 without chat (Appendix C.10), and a fresh pre-registered series confirmed it, 73.3% against 3.3% (Appendix C.11).</w:t>
      </w:r>
    </w:p>
    <w:p>
      <w:pPr>
        <w:spacing w:after="60" w:before="0"/>
        <w:jc w:val="both"/>
      </w:pPr>
      <w:r>
        <w:rPr>
          <w:sz w:val="20"/>
        </w:rPr>
        <w:t>Honest agents that repeat their own moves are the third case. When honest simulated agents copy their last move with probability 0.5 or more, the fixed-horizon test flags 7–9.5% of honest logs, because its null redraws rounds independently and breaks the runs. The sequential test stays at or below 4.5%, as Proposition 2 requires, and we recommend it for agents whose actions persist.</w:t>
      </w:r>
    </w:p>
    <w:p>
      <w:pPr>
        <w:pStyle w:val="Heading2"/>
        <w:keepNext/>
        <w:spacing w:before="160" w:after="60"/>
      </w:pPr>
      <w:r>
        <w:rPr/>
        <w:t>6. Discussion and Limitations</w:t>
      </w:r>
    </w:p>
    <w:p>
      <w:pPr>
        <w:spacing w:after="60" w:before="0"/>
        <w:jc w:val="both"/>
      </w:pPr>
      <w:r>
        <w:rPr>
          <w:sz w:val="20"/>
        </w:rPr>
        <w:t>Labs, platforms and regulators' sandboxes that log each agent's prompt and state can run the test before deployment and in audits; under A1 to A3 a flag points to the audited channel, not to a shared vendor. Four limits remain. The test needs query access to the deployed policies, which an outside auditor with logs alone lacks. Exactness needs the same model to answer the logged call and its replays; our match-rate diagnostic is consistent with this, but we did not pin provider routing in the main runs. The null covers only the direct effect of the current channel (Section 5.4). Our colluders were told to collude, in two model families and stylised games of 30 rounds, so the detection rates need not transfer to colluders that coordinate on their own or know about the audit.</w:t>
      </w:r>
    </w:p>
    <w:p>
      <w:pPr>
        <w:pStyle w:val="Heading2"/>
        <w:keepNext/>
        <w:spacing w:before="160" w:after="60"/>
      </w:pPr>
      <w:r>
        <w:rPr/>
        <w:t>7. Conclusion</w:t>
      </w:r>
    </w:p>
    <w:p>
      <w:pPr>
        <w:spacing w:after="60" w:before="0"/>
        <w:jc w:val="both"/>
      </w:pPr>
      <w:r>
        <w:rPr>
          <w:sz w:val="20"/>
        </w:rPr>
        <w:t>Shared models make honest agents look like cartels to dependence tests. Asking each agent again without the audited channel brings these false accusations down to the target rate. In theory the growth-optimal bet finds a channel whose current messages shift payoffs, at a speed set by the size of the shift (Appendix C.9). Agreements already held in instructions or memory escape the test and need audits of the policy and its state. We release the code under MIT and the data under CC-BY-4.0.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finds pairs whose hidden channel changed their actions. It establishes neither intent nor legality, nor robustness to adversaries optimised to evade it. A flag is a plus factor that warrants investigation, not a finding of collusion.</w:t>
      </w:r>
    </w:p>
    <w:p>
      <w:pPr>
        <w:spacing w:after="60" w:before="0"/>
        <w:jc w:val="both"/>
      </w:pPr>
      <w:r>
        <w:rPr>
          <w:b/>
          <w:sz w:val="20"/>
        </w:rPr>
        <w:t>Dual use.</w:t>
      </w:r>
      <w:r>
        <w:rPr>
          <w:sz w:val="20"/>
        </w:rPr>
        <w:t xml:space="preserve"> Naming the blind spot (coordination held in the policy or in memory) could tell a colluder where to hide; we judge the risk low, since it follows from the definition, is known in the antitrust literature, and the remedy, auditing the policy and its state, is stated with it. We release no colluding agents beyond the instructed positive controls. The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was not pinned (Table A0): Haiku came almost entirely from one provider, DeepSeek from several, which may serve different quantisations. Exactness of the per-round null therefore rests on A1, which the C.2 diagnostic supports for the main models but does not establish.</w:t>
      </w:r>
    </w:p>
    <w:p>
      <w:pPr>
        <w:spacing w:after="60" w:before="0"/>
        <w:jc w:val="both"/>
      </w:pPr>
      <w:r>
        <w:rPr>
          <w:b/>
          <w:sz w:val="20"/>
        </w:rPr>
        <w:t>Cost and ethics.</w:t>
      </w:r>
      <w:r>
        <w:rPr>
          <w:sz w:val="20"/>
        </w:rPr>
        <w:t xml:space="preserve"> Table A0 gives calls and spend.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Instructions of the instructed colluders and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the rates with intervals, Table A1b the pooled honest games and the published logs. The pre-registered test of a replay false-alarm rate of 10% or more is rejected in every same-model condition; that alone does not establish a rate of 5% or less.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224"/>
        <w:gridCol w:w="1859"/>
        <w:gridCol w:w="767"/>
        <w:gridCol w:w="979"/>
        <w:gridCol w:w="979"/>
        <w:gridCol w:w="979"/>
        <w:gridCol w:w="1284"/>
      </w:tblGrid>
      <w:tr>
        <w:trPr>
          <w:cantSplit/>
        </w:trPr>
        <w:tc>
          <w:tcPr>
            <w:tcW w:type="dxa" w:w="2224"/>
          </w:tcPr>
          <w:p>
            <w:pPr>
              <w:keepNext/>
              <w:spacing w:after="20"/>
            </w:pPr>
            <w:r>
              <w:rPr>
                <w:b/>
                <w:sz w:val="16"/>
              </w:rPr>
              <w:t>Condition</w:t>
            </w:r>
          </w:p>
        </w:tc>
        <w:tc>
          <w:tcPr>
            <w:tcW w:type="dxa" w:w="1859"/>
          </w:tcPr>
          <w:p>
            <w:pPr>
              <w:keepNext/>
              <w:spacing w:after="20"/>
            </w:pPr>
            <w:r>
              <w:rPr>
                <w:b/>
                <w:sz w:val="16"/>
              </w:rPr>
              <w:t>Game, model</w:t>
            </w:r>
          </w:p>
        </w:tc>
        <w:tc>
          <w:tcPr>
            <w:tcW w:type="dxa" w:w="767"/>
          </w:tcPr>
          <w:p>
            <w:pPr>
              <w:keepNext/>
              <w:spacing w:after="20"/>
            </w:pPr>
            <w:r>
              <w:rPr>
                <w:b/>
                <w:sz w:val="16"/>
              </w:rPr>
              <w:t>Games</w:t>
            </w:r>
          </w:p>
        </w:tc>
        <w:tc>
          <w:tcPr>
            <w:tcW w:type="dxa" w:w="979"/>
          </w:tcPr>
          <w:p>
            <w:pPr>
              <w:keepNext/>
              <w:spacing w:after="20"/>
            </w:pPr>
            <w:r>
              <w:rPr>
                <w:b/>
                <w:sz w:val="16"/>
              </w:rPr>
              <w:t>MI + shuffle</w:t>
            </w:r>
          </w:p>
        </w:tc>
        <w:tc>
          <w:tcPr>
            <w:tcW w:type="dxa" w:w="979"/>
          </w:tcPr>
          <w:p>
            <w:pPr>
              <w:keepNext/>
              <w:spacing w:after="20"/>
            </w:pPr>
            <w:r>
              <w:rPr>
                <w:b/>
                <w:sz w:val="16"/>
              </w:rPr>
              <w:t>Bonjour rule</w:t>
            </w:r>
          </w:p>
        </w:tc>
        <w:tc>
          <w:tcPr>
            <w:tcW w:type="dxa" w:w="979"/>
          </w:tcPr>
          <w:p>
            <w:pPr>
              <w:keepNext/>
              <w:spacing w:after="20"/>
            </w:pPr>
            <w:r>
              <w:rPr>
                <w:b/>
                <w:sz w:val="16"/>
              </w:rPr>
              <w:t>Replay, fixed</w:t>
            </w:r>
          </w:p>
        </w:tc>
        <w:tc>
          <w:tcPr>
            <w:tcW w:type="dxa" w:w="1284"/>
          </w:tcPr>
          <w:p>
            <w:pPr>
              <w:keepNext/>
              <w:spacing w:after="20"/>
            </w:pPr>
            <w:r>
              <w:rPr>
                <w:b/>
                <w:sz w:val="16"/>
              </w:rPr>
              <w:t>Replay, sequential</w:t>
            </w:r>
          </w:p>
        </w:tc>
      </w:tr>
      <w:tr>
        <w:trPr>
          <w:cantSplit/>
        </w:trPr>
        <w:tc>
          <w:tcPr>
            <w:tcW w:type="dxa" w:w="2224"/>
          </w:tcPr>
          <w:p>
            <w:pPr>
              <w:keepNext w:val="0"/>
              <w:spacing w:after="20"/>
            </w:pPr>
            <w:r>
              <w:rPr>
                <w:i/>
                <w:sz w:val="16"/>
              </w:rPr>
              <w:t>Honest: share flagged</w:t>
            </w:r>
          </w:p>
        </w:tc>
        <w:tc>
          <w:tcPr>
            <w:tcW w:type="dxa" w:w="1859"/>
          </w:tcPr>
          <w:p>
            <w:pPr>
              <w:keepNext w:val="0"/>
              <w:spacing w:after="20"/>
            </w:pPr>
          </w:p>
        </w:tc>
        <w:tc>
          <w:tcPr>
            <w:tcW w:type="dxa" w:w="767"/>
          </w:tcPr>
          <w:p>
            <w:pPr>
              <w:keepNext w:val="0"/>
              <w:spacing w:after="20"/>
            </w:pPr>
          </w:p>
        </w:tc>
        <w:tc>
          <w:tcPr>
            <w:tcW w:type="dxa" w:w="979"/>
          </w:tcPr>
          <w:p>
            <w:pPr>
              <w:keepNext w:val="0"/>
              <w:spacing w:after="20"/>
            </w:pPr>
          </w:p>
        </w:tc>
        <w:tc>
          <w:tcPr>
            <w:tcW w:type="dxa" w:w="979"/>
          </w:tcPr>
          <w:p>
            <w:pPr>
              <w:keepNext w:val="0"/>
              <w:spacing w:after="20"/>
            </w:pPr>
          </w:p>
        </w:tc>
        <w:tc>
          <w:tcPr>
            <w:tcW w:type="dxa" w:w="979"/>
          </w:tcPr>
          <w:p>
            <w:pPr>
              <w:keepNext w:val="0"/>
              <w:spacing w:after="20"/>
            </w:pPr>
          </w:p>
        </w:tc>
        <w:tc>
          <w:tcPr>
            <w:tcW w:type="dxa" w:w="1284"/>
          </w:tcPr>
          <w:p>
            <w:pPr>
              <w:keepNext w:val="0"/>
              <w:spacing w:after="20"/>
            </w:pP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DeepSeek</w:t>
            </w:r>
          </w:p>
        </w:tc>
        <w:tc>
          <w:tcPr>
            <w:tcW w:type="dxa" w:w="767"/>
          </w:tcPr>
          <w:p>
            <w:pPr>
              <w:keepNext w:val="0"/>
              <w:spacing w:after="20"/>
            </w:pPr>
            <w:r>
              <w:rPr>
                <w:sz w:val="16"/>
              </w:rPr>
              <w:t>150</w:t>
            </w:r>
          </w:p>
        </w:tc>
        <w:tc>
          <w:tcPr>
            <w:tcW w:type="dxa" w:w="979"/>
          </w:tcPr>
          <w:p>
            <w:pPr>
              <w:keepNext w:val="0"/>
              <w:spacing w:after="20"/>
            </w:pPr>
            <w:r>
              <w:rPr>
                <w:sz w:val="16"/>
              </w:rPr>
              <w:t>14.7%</w:t>
            </w:r>
          </w:p>
        </w:tc>
        <w:tc>
          <w:tcPr>
            <w:tcW w:type="dxa" w:w="979"/>
          </w:tcPr>
          <w:p>
            <w:pPr>
              <w:keepNext w:val="0"/>
              <w:spacing w:after="20"/>
            </w:pPr>
            <w:r>
              <w:rPr>
                <w:sz w:val="16"/>
              </w:rPr>
              <w:t>52%</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Haiku</w:t>
            </w:r>
          </w:p>
        </w:tc>
        <w:tc>
          <w:tcPr>
            <w:tcW w:type="dxa" w:w="767"/>
          </w:tcPr>
          <w:p>
            <w:pPr>
              <w:keepNext w:val="0"/>
              <w:spacing w:after="20"/>
            </w:pPr>
            <w:r>
              <w:rPr>
                <w:sz w:val="16"/>
              </w:rPr>
              <w:t>150</w:t>
            </w:r>
          </w:p>
        </w:tc>
        <w:tc>
          <w:tcPr>
            <w:tcW w:type="dxa" w:w="979"/>
          </w:tcPr>
          <w:p>
            <w:pPr>
              <w:keepNext w:val="0"/>
              <w:spacing w:after="20"/>
            </w:pPr>
            <w:r>
              <w:rPr>
                <w:sz w:val="16"/>
              </w:rPr>
              <w:t>69.3%</w:t>
            </w:r>
          </w:p>
        </w:tc>
        <w:tc>
          <w:tcPr>
            <w:tcW w:type="dxa" w:w="979"/>
          </w:tcPr>
          <w:p>
            <w:pPr>
              <w:keepNext w:val="0"/>
              <w:spacing w:after="20"/>
            </w:pPr>
            <w:r>
              <w:rPr>
                <w:sz w:val="16"/>
              </w:rPr>
              <w:t>61.3%</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Mixed models</w:t>
            </w:r>
          </w:p>
        </w:tc>
        <w:tc>
          <w:tcPr>
            <w:tcW w:type="dxa" w:w="1859"/>
          </w:tcPr>
          <w:p>
            <w:pPr>
              <w:keepNext w:val="0"/>
              <w:spacing w:after="20"/>
            </w:pPr>
            <w:r>
              <w:rPr>
                <w:sz w:val="16"/>
              </w:rPr>
              <w:t>RPS</w:t>
            </w:r>
          </w:p>
        </w:tc>
        <w:tc>
          <w:tcPr>
            <w:tcW w:type="dxa" w:w="767"/>
          </w:tcPr>
          <w:p>
            <w:pPr>
              <w:keepNext w:val="0"/>
              <w:spacing w:after="20"/>
            </w:pPr>
            <w:r>
              <w:rPr>
                <w:sz w:val="16"/>
              </w:rPr>
              <w:t>150</w:t>
            </w:r>
          </w:p>
        </w:tc>
        <w:tc>
          <w:tcPr>
            <w:tcW w:type="dxa" w:w="979"/>
          </w:tcPr>
          <w:p>
            <w:pPr>
              <w:keepNext w:val="0"/>
              <w:spacing w:after="20"/>
            </w:pPr>
            <w:r>
              <w:rPr>
                <w:sz w:val="16"/>
              </w:rPr>
              <w:t>20%</w:t>
            </w:r>
          </w:p>
        </w:tc>
        <w:tc>
          <w:tcPr>
            <w:tcW w:type="dxa" w:w="979"/>
          </w:tcPr>
          <w:p>
            <w:pPr>
              <w:keepNext w:val="0"/>
              <w:spacing w:after="20"/>
            </w:pPr>
            <w:r>
              <w:rPr>
                <w:sz w:val="16"/>
              </w:rPr>
              <w:t>55.3%</w:t>
            </w:r>
          </w:p>
        </w:tc>
        <w:tc>
          <w:tcPr>
            <w:tcW w:type="dxa" w:w="979"/>
          </w:tcPr>
          <w:p>
            <w:pPr>
              <w:keepNext w:val="0"/>
              <w:spacing w:after="20"/>
            </w:pPr>
            <w:r>
              <w:rPr>
                <w:sz w:val="16"/>
              </w:rPr>
              <w:t>2.7%</w:t>
            </w:r>
          </w:p>
        </w:tc>
        <w:tc>
          <w:tcPr>
            <w:tcW w:type="dxa" w:w="1284"/>
          </w:tcPr>
          <w:p>
            <w:pPr>
              <w:keepNext w:val="0"/>
              <w:spacing w:after="20"/>
            </w:pPr>
            <w:r>
              <w:rPr>
                <w:sz w:val="16"/>
              </w:rPr>
              <w:t>0.7%</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DeepSeek</w:t>
            </w:r>
          </w:p>
        </w:tc>
        <w:tc>
          <w:tcPr>
            <w:tcW w:type="dxa" w:w="767"/>
          </w:tcPr>
          <w:p>
            <w:pPr>
              <w:keepNext w:val="0"/>
              <w:spacing w:after="20"/>
            </w:pPr>
            <w:r>
              <w:rPr>
                <w:sz w:val="16"/>
              </w:rPr>
              <w:t>60</w:t>
            </w:r>
          </w:p>
        </w:tc>
        <w:tc>
          <w:tcPr>
            <w:tcW w:type="dxa" w:w="979"/>
          </w:tcPr>
          <w:p>
            <w:pPr>
              <w:keepNext w:val="0"/>
              <w:spacing w:after="20"/>
            </w:pPr>
            <w:r>
              <w:rPr>
                <w:sz w:val="16"/>
              </w:rPr>
              <w:t>11.7%</w:t>
            </w:r>
          </w:p>
        </w:tc>
        <w:tc>
          <w:tcPr>
            <w:tcW w:type="dxa" w:w="979"/>
          </w:tcPr>
          <w:p>
            <w:pPr>
              <w:keepNext w:val="0"/>
              <w:spacing w:after="20"/>
            </w:pPr>
            <w:r>
              <w:rPr>
                <w:sz w:val="16"/>
              </w:rPr>
              <w:t>48.3%</w:t>
            </w:r>
          </w:p>
        </w:tc>
        <w:tc>
          <w:tcPr>
            <w:tcW w:type="dxa" w:w="979"/>
          </w:tcPr>
          <w:p>
            <w:pPr>
              <w:keepNext w:val="0"/>
              <w:spacing w:after="20"/>
            </w:pPr>
            <w:r>
              <w:rPr>
                <w:sz w:val="16"/>
              </w:rPr>
              <w:t>6.7%</w:t>
            </w:r>
          </w:p>
        </w:tc>
        <w:tc>
          <w:tcPr>
            <w:tcW w:type="dxa" w:w="1284"/>
          </w:tcPr>
          <w:p>
            <w:pPr>
              <w:keepNext w:val="0"/>
              <w:spacing w:after="20"/>
            </w:pPr>
            <w:r>
              <w:rPr>
                <w:sz w:val="16"/>
              </w:rPr>
              <w:t>0%</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Haiku</w:t>
            </w:r>
          </w:p>
        </w:tc>
        <w:tc>
          <w:tcPr>
            <w:tcW w:type="dxa" w:w="767"/>
          </w:tcPr>
          <w:p>
            <w:pPr>
              <w:keepNext w:val="0"/>
              <w:spacing w:after="20"/>
            </w:pPr>
            <w:r>
              <w:rPr>
                <w:sz w:val="16"/>
              </w:rPr>
              <w:t>40</w:t>
            </w:r>
          </w:p>
        </w:tc>
        <w:tc>
          <w:tcPr>
            <w:tcW w:type="dxa" w:w="979"/>
          </w:tcPr>
          <w:p>
            <w:pPr>
              <w:keepNext w:val="0"/>
              <w:spacing w:after="20"/>
            </w:pPr>
            <w:r>
              <w:rPr>
                <w:sz w:val="16"/>
              </w:rPr>
              <w:t>45%</w:t>
            </w:r>
          </w:p>
        </w:tc>
        <w:tc>
          <w:tcPr>
            <w:tcW w:type="dxa" w:w="979"/>
          </w:tcPr>
          <w:p>
            <w:pPr>
              <w:keepNext w:val="0"/>
              <w:spacing w:after="20"/>
            </w:pPr>
            <w:r>
              <w:rPr>
                <w:sz w:val="16"/>
              </w:rPr>
              <w:t>65%</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DeepSeek</w:t>
            </w:r>
          </w:p>
        </w:tc>
        <w:tc>
          <w:tcPr>
            <w:tcW w:type="dxa" w:w="767"/>
          </w:tcPr>
          <w:p>
            <w:pPr>
              <w:keepNext w:val="0"/>
              <w:spacing w:after="20"/>
            </w:pPr>
            <w:r>
              <w:rPr>
                <w:sz w:val="16"/>
              </w:rPr>
              <w:t>40</w:t>
            </w:r>
          </w:p>
        </w:tc>
        <w:tc>
          <w:tcPr>
            <w:tcW w:type="dxa" w:w="979"/>
          </w:tcPr>
          <w:p>
            <w:pPr>
              <w:keepNext w:val="0"/>
              <w:spacing w:after="20"/>
            </w:pPr>
            <w:r>
              <w:rPr>
                <w:sz w:val="16"/>
              </w:rPr>
              <w:t>5%</w:t>
            </w:r>
          </w:p>
        </w:tc>
        <w:tc>
          <w:tcPr>
            <w:tcW w:type="dxa" w:w="979"/>
          </w:tcPr>
          <w:p>
            <w:pPr>
              <w:keepNext w:val="0"/>
              <w:spacing w:after="20"/>
            </w:pPr>
            <w:r>
              <w:rPr>
                <w:sz w:val="16"/>
              </w:rPr>
              <w:t>57.5%</w:t>
            </w:r>
          </w:p>
        </w:tc>
        <w:tc>
          <w:tcPr>
            <w:tcW w:type="dxa" w:w="979"/>
          </w:tcPr>
          <w:p>
            <w:pPr>
              <w:keepNext w:val="0"/>
              <w:spacing w:after="20"/>
            </w:pPr>
            <w:r>
              <w:rPr>
                <w:sz w:val="16"/>
              </w:rPr>
              <w:t>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Haiku</w:t>
            </w:r>
          </w:p>
        </w:tc>
        <w:tc>
          <w:tcPr>
            <w:tcW w:type="dxa" w:w="767"/>
          </w:tcPr>
          <w:p>
            <w:pPr>
              <w:keepNext w:val="0"/>
              <w:spacing w:after="20"/>
            </w:pPr>
            <w:r>
              <w:rPr>
                <w:sz w:val="16"/>
              </w:rPr>
              <w:t>30</w:t>
            </w:r>
          </w:p>
        </w:tc>
        <w:tc>
          <w:tcPr>
            <w:tcW w:type="dxa" w:w="979"/>
          </w:tcPr>
          <w:p>
            <w:pPr>
              <w:keepNext w:val="0"/>
              <w:spacing w:after="20"/>
            </w:pPr>
            <w:r>
              <w:rPr>
                <w:sz w:val="16"/>
              </w:rPr>
              <w:t>50%</w:t>
            </w:r>
          </w:p>
        </w:tc>
        <w:tc>
          <w:tcPr>
            <w:tcW w:type="dxa" w:w="979"/>
          </w:tcPr>
          <w:p>
            <w:pPr>
              <w:keepNext w:val="0"/>
              <w:spacing w:after="20"/>
            </w:pPr>
            <w:r>
              <w:rPr>
                <w:sz w:val="16"/>
              </w:rPr>
              <w:t>60%</w:t>
            </w:r>
          </w:p>
        </w:tc>
        <w:tc>
          <w:tcPr>
            <w:tcW w:type="dxa" w:w="979"/>
          </w:tcPr>
          <w:p>
            <w:pPr>
              <w:keepNext w:val="0"/>
              <w:spacing w:after="20"/>
            </w:pPr>
            <w:r>
              <w:rPr>
                <w:sz w:val="16"/>
              </w:rPr>
              <w:t>3.3%</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Auction, DeepSeek</w:t>
            </w:r>
          </w:p>
        </w:tc>
        <w:tc>
          <w:tcPr>
            <w:tcW w:type="dxa" w:w="767"/>
          </w:tcPr>
          <w:p>
            <w:pPr>
              <w:keepNext w:val="0"/>
              <w:spacing w:after="20"/>
            </w:pPr>
            <w:r>
              <w:rPr>
                <w:sz w:val="16"/>
              </w:rPr>
              <w:t>100</w:t>
            </w:r>
          </w:p>
        </w:tc>
        <w:tc>
          <w:tcPr>
            <w:tcW w:type="dxa" w:w="979"/>
          </w:tcPr>
          <w:p>
            <w:pPr>
              <w:keepNext w:val="0"/>
              <w:spacing w:after="20"/>
            </w:pPr>
            <w:r>
              <w:rPr>
                <w:sz w:val="16"/>
              </w:rPr>
              <w:t>0%</w:t>
            </w:r>
          </w:p>
        </w:tc>
        <w:tc>
          <w:tcPr>
            <w:tcW w:type="dxa" w:w="979"/>
          </w:tcPr>
          <w:p>
            <w:pPr>
              <w:keepNext w:val="0"/>
              <w:spacing w:after="20"/>
            </w:pPr>
            <w:r>
              <w:rPr>
                <w:sz w:val="16"/>
              </w:rPr>
              <w:t>1%</w:t>
            </w:r>
          </w:p>
        </w:tc>
        <w:tc>
          <w:tcPr>
            <w:tcW w:type="dxa" w:w="979"/>
          </w:tcPr>
          <w:p>
            <w:pPr>
              <w:keepNext w:val="0"/>
              <w:spacing w:after="20"/>
            </w:pPr>
            <w:r>
              <w:rPr>
                <w:sz w:val="16"/>
              </w:rPr>
              <w:t>1%</w:t>
            </w:r>
          </w:p>
        </w:tc>
        <w:tc>
          <w:tcPr>
            <w:tcW w:type="dxa" w:w="1284"/>
          </w:tcPr>
          <w:p>
            <w:pPr>
              <w:keepNext w:val="0"/>
              <w:spacing w:after="20"/>
            </w:pPr>
            <w:r>
              <w:rPr>
                <w:sz w:val="16"/>
              </w:rPr>
              <w:t>0%</w:t>
            </w:r>
          </w:p>
        </w:tc>
      </w:tr>
      <w:tr>
        <w:trPr>
          <w:cantSplit/>
        </w:trPr>
        <w:tc>
          <w:tcPr>
            <w:tcW w:type="dxa" w:w="2224"/>
          </w:tcPr>
          <w:p>
            <w:pPr>
              <w:keepNext w:val="0"/>
              <w:spacing w:after="20"/>
            </w:pPr>
            <w:r>
              <w:rPr>
                <w:sz w:val="16"/>
              </w:rPr>
              <w:t>Public-data vendor</w:t>
            </w:r>
          </w:p>
        </w:tc>
        <w:tc>
          <w:tcPr>
            <w:tcW w:type="dxa" w:w="1859"/>
          </w:tcPr>
          <w:p>
            <w:pPr>
              <w:keepNext w:val="0"/>
              <w:spacing w:after="20"/>
            </w:pPr>
            <w:r>
              <w:rPr>
                <w:sz w:val="16"/>
              </w:rPr>
              <w:t>Auction, DeepSeek</w:t>
            </w:r>
          </w:p>
        </w:tc>
        <w:tc>
          <w:tcPr>
            <w:tcW w:type="dxa" w:w="767"/>
          </w:tcPr>
          <w:p>
            <w:pPr>
              <w:keepNext w:val="0"/>
              <w:spacing w:after="20"/>
            </w:pPr>
            <w:r>
              <w:rPr>
                <w:sz w:val="16"/>
              </w:rPr>
              <w:t>60</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GPT-6 Luna</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Gemma 3 12B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10.0%</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gpt-oss-20b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2.5%</w:t>
            </w:r>
          </w:p>
        </w:tc>
        <w:tc>
          <w:tcPr>
            <w:tcW w:type="dxa" w:w="1284"/>
          </w:tcPr>
          <w:p>
            <w:pPr>
              <w:keepNext w:val="0"/>
              <w:spacing w:after="20"/>
            </w:pPr>
            <w:r>
              <w:rPr>
                <w:sz w:val="16"/>
              </w:rPr>
              <w:t>2.5%</w:t>
            </w:r>
          </w:p>
        </w:tc>
      </w:tr>
    </w:tbl>
    <w:p>
      <w:pPr>
        <w:spacing w:after="80" w:before="0"/>
      </w:pPr>
    </w:p>
    <w:p>
      <w:pPr>
        <w:keepNext/>
        <w:spacing w:after="60" w:before="0"/>
        <w:jc w:val="both"/>
      </w:pPr>
      <w:r>
        <w:rPr>
          <w:b/>
          <w:sz w:val="20"/>
        </w:rPr>
        <w:t>Table A1, continued.</w:t>
      </w:r>
      <w:r>
        <w:rPr>
          <w:sz w:val="20"/>
        </w:rPr>
        <w:t xml:space="preserve"> Colluding conditions: share of games in which the true pair is named (same detectors).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40" w:before="0"/>
        <w:jc w:val="center"/>
      </w:pPr>
      <w:r>
        <w:drawing>
          <wp:inline>
            <wp:extent cx="5760720" cy="2800642"/>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2800642"/>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Tables A2 and A2b check A1. The replay test's p-values are close to uniform, those of mutual information pile up near zero; discrete statistics make both conservative. A1 implies that a logged move matches a replay as often as two replays match each other, which Table A2 tests on agent-rounds with identical logged and replayed prompts. The one interval excluding zero belongs to gpt-oss-20b, which runs with reasoning and was routed across several providers; equal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30,000</w:t>
            </w:r>
          </w:p>
        </w:tc>
        <w:tc>
          <w:tcPr>
            <w:tcW w:type="dxa" w:w="1333"/>
          </w:tcPr>
          <w:p>
            <w:pPr>
              <w:keepNext w:val="0"/>
              <w:spacing w:after="20"/>
            </w:pPr>
            <w:r>
              <w:rPr>
                <w:sz w:val="16"/>
              </w:rPr>
              <w:t>−0.002</w:t>
            </w:r>
          </w:p>
        </w:tc>
        <w:tc>
          <w:tcPr>
            <w:tcW w:type="dxa" w:w="1833"/>
          </w:tcPr>
          <w:p>
            <w:pPr>
              <w:keepNext w:val="0"/>
              <w:spacing w:after="20"/>
            </w:pPr>
            <w:r>
              <w:rPr>
                <w:sz w:val="16"/>
              </w:rPr>
              <w:t>−0.009 to +0.004</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−0.011</w:t>
            </w:r>
          </w:p>
        </w:tc>
        <w:tc>
          <w:tcPr>
            <w:tcW w:type="dxa" w:w="1833"/>
          </w:tcPr>
          <w:p>
            <w:pPr>
              <w:keepNext w:val="0"/>
              <w:spacing w:after="20"/>
            </w:pPr>
            <w:r>
              <w:rPr>
                <w:sz w:val="16"/>
              </w:rPr>
              <w:t>−0.031 to +0.011</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26,400</w:t>
            </w:r>
          </w:p>
        </w:tc>
        <w:tc>
          <w:tcPr>
            <w:tcW w:type="dxa" w:w="1333"/>
          </w:tcPr>
          <w:p>
            <w:pPr>
              <w:keepNext w:val="0"/>
              <w:spacing w:after="20"/>
            </w:pPr>
            <w:r>
              <w:rPr>
                <w:sz w:val="16"/>
              </w:rPr>
              <w:t>−0.001</w:t>
            </w:r>
          </w:p>
        </w:tc>
        <w:tc>
          <w:tcPr>
            <w:tcW w:type="dxa" w:w="1833"/>
          </w:tcPr>
          <w:p>
            <w:pPr>
              <w:keepNext w:val="0"/>
              <w:spacing w:after="20"/>
            </w:pPr>
            <w:r>
              <w:rPr>
                <w:sz w:val="16"/>
              </w:rPr>
              <w:t>−0.007 to +0.005</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+0.007</w:t>
            </w:r>
          </w:p>
        </w:tc>
        <w:tc>
          <w:tcPr>
            <w:tcW w:type="dxa" w:w="1833"/>
          </w:tcPr>
          <w:p>
            <w:pPr>
              <w:keepNext w:val="0"/>
              <w:spacing w:after="20"/>
            </w:pPr>
            <w:r>
              <w:rPr>
                <w:sz w:val="16"/>
              </w:rPr>
              <w:t>−0.011 to +0.025</w:t>
            </w:r>
          </w:p>
        </w:tc>
      </w:tr>
      <w:tr>
        <w:trPr>
          <w:cantSplit/>
        </w:trPr>
        <w:tc>
          <w:tcPr>
            <w:tcW w:type="dxa" w:w="1435"/>
          </w:tcPr>
          <w:p>
            <w:pPr>
              <w:keepNext w:val="0"/>
              <w:spacing w:after="20"/>
            </w:pPr>
            <w:r>
              <w:rPr>
                <w:sz w:val="16"/>
              </w:rPr>
              <w:t>Mixed</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18,000</w:t>
            </w:r>
          </w:p>
        </w:tc>
        <w:tc>
          <w:tcPr>
            <w:tcW w:type="dxa" w:w="1333"/>
          </w:tcPr>
          <w:p>
            <w:pPr>
              <w:keepNext w:val="0"/>
              <w:spacing w:after="20"/>
            </w:pPr>
            <w:r>
              <w:rPr>
                <w:sz w:val="16"/>
              </w:rPr>
              <w:t>−0.005</w:t>
            </w:r>
          </w:p>
        </w:tc>
        <w:tc>
          <w:tcPr>
            <w:tcW w:type="dxa" w:w="1833"/>
          </w:tcPr>
          <w:p>
            <w:pPr>
              <w:keepNext w:val="0"/>
              <w:spacing w:after="20"/>
            </w:pPr>
            <w:r>
              <w:rPr>
                <w:sz w:val="16"/>
              </w:rPr>
              <w:t>−0.013 to +0.003</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+0.011</w:t>
            </w:r>
          </w:p>
        </w:tc>
        <w:tc>
          <w:tcPr>
            <w:tcW w:type="dxa" w:w="1833"/>
          </w:tcPr>
          <w:p>
            <w:pPr>
              <w:keepNext w:val="0"/>
              <w:spacing w:after="20"/>
            </w:pPr>
            <w:r>
              <w:rPr>
                <w:sz w:val="16"/>
              </w:rPr>
              <w:t>−0.000 to +0.022</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+0.002</w:t>
            </w:r>
          </w:p>
        </w:tc>
        <w:tc>
          <w:tcPr>
            <w:tcW w:type="dxa" w:w="1833"/>
          </w:tcPr>
          <w:p>
            <w:pPr>
              <w:keepNext w:val="0"/>
              <w:spacing w:after="20"/>
            </w:pPr>
            <w:r>
              <w:rPr>
                <w:sz w:val="16"/>
              </w:rPr>
              <w:t>−0.020 to +0.027</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+0.000</w:t>
            </w:r>
          </w:p>
        </w:tc>
        <w:tc>
          <w:tcPr>
            <w:tcW w:type="dxa" w:w="1833"/>
          </w:tcPr>
          <w:p>
            <w:pPr>
              <w:keepNext w:val="0"/>
              <w:spacing w:after="20"/>
            </w:pPr>
            <w:r>
              <w:rPr>
                <w:sz w:val="16"/>
              </w:rPr>
              <w:t>−0.016 to +0.016</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+0.008</w:t>
            </w:r>
          </w:p>
        </w:tc>
        <w:tc>
          <w:tcPr>
            <w:tcW w:type="dxa" w:w="1833"/>
          </w:tcPr>
          <w:p>
            <w:pPr>
              <w:keepNext w:val="0"/>
              <w:spacing w:after="20"/>
            </w:pPr>
            <w:r>
              <w:rPr>
                <w:sz w:val="16"/>
              </w:rPr>
              <w:t>−0.029 to +0.039</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+0.019</w:t>
            </w:r>
          </w:p>
        </w:tc>
        <w:tc>
          <w:tcPr>
            <w:tcW w:type="dxa" w:w="1833"/>
          </w:tcPr>
          <w:p>
            <w:pPr>
              <w:keepNext w:val="0"/>
              <w:spacing w:after="20"/>
            </w:pPr>
            <w:r>
              <w:rPr>
                <w:sz w:val="16"/>
              </w:rPr>
              <w:t>+0.003 to +0.034</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−0.016</w:t>
            </w:r>
          </w:p>
        </w:tc>
        <w:tc>
          <w:tcPr>
            <w:tcW w:type="dxa" w:w="1833"/>
          </w:tcPr>
          <w:p>
            <w:pPr>
              <w:keepNext w:val="0"/>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79399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9399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Table A3b and Fig. A3 give simulator calibration and power. The sequential test was developed after the main analysis was frozen, so on the main data it is exploratory; its replication (C.4) was pre-registered. The joint bet was run first and is the one reported; the two bets tried after seeing its results are listed for completeness, and the likelihood-ratio bet is in C.9.</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198201"/>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19820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plan fixed and what came out. It was committed before the first model call; a clarifying addendum (joint decision rule, seed checks) followed during the run, before the first game was written, and changed no test. The false-alarm test requires zero alarms and has little power, so it is evidence against a 10% rate, not proof of 5% or less. The colluders always sat at P1 and P3; the table reports how often the null ranked that pair first.</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 A4 reads detection at matched false-alarm rates off empirical ROC curves and is descriptive, since the thresholds come from the same games. Table A4b gives the judges: from actions alone a judge ranks Haiku pairs about as well as the replay test but accuses honest games at a rate nothing controls, and given the private messages it accuses groups whose plans were never delivered.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keyword, not meaning) the seller-hours in which the cartel's floor or leader sits in followers' memory before the call; Table A5c, obedience to a just-changed floor by logged asks and by replays.</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replays keep that memory, so each round's null is exact (Table A5d). A cartel that stores a floor after one message and then falls silent escapes the sequential test; a "twin" that replays each agent from the first round without any channel separates it but has no exact null and alarms on persistent honest agents, so it shows the gap between direct and total effect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flagged logs almost always name a pair inside the coalition (Table A5e); the calibration holds in this simulator only and not for honest agents that persist.</w:t>
      </w:r>
    </w:p>
    <w:p>
      <w:pPr>
        <w:tabs>
          <w:tab w:pos="403" w:val="left"/>
        </w:tabs>
        <w:spacing w:after="40" w:before="0"/>
        <w:ind w:left="403" w:hanging="288"/>
      </w:pPr>
      <w:r>
        <w:rPr>
          <w:sz w:val="20"/>
        </w:rPr>
        <w:t>•</w:t>
        <w:tab/>
      </w:r>
      <w:r>
        <w:rPr>
          <w:i/>
          <w:sz w:val="20"/>
        </w:rPr>
        <w:t>Evasion and its cost (simulator).</w:t>
      </w:r>
      <w:r>
        <w:rPr>
          <w:sz w:val="20"/>
        </w:rPr>
        <w:t xml:space="preserve"> A rotation cartel that covers less often to stay undetected keeps less of the harm (Table A5f); a member that always submits the cover bid creates no pairwise dependence but departs from its replays.</w:t>
      </w:r>
    </w:p>
    <w:p>
      <w:pPr>
        <w:tabs>
          <w:tab w:pos="403" w:val="left"/>
        </w:tabs>
        <w:spacing w:after="40" w:before="0"/>
        <w:ind w:left="403" w:hanging="288"/>
      </w:pPr>
      <w:r>
        <w:rPr>
          <w:sz w:val="20"/>
        </w:rPr>
        <w:t>•</w:t>
        <w:tab/>
      </w:r>
      <w:r>
        <w:rPr>
          <w:i/>
          <w:sz w:val="20"/>
        </w:rPr>
        <w:t>One replay instead of two.</w:t>
      </w:r>
      <w:r>
        <w:rPr>
          <w:sz w:val="20"/>
        </w:rPr>
        <w:t xml:space="preserve"> The pool stays valid with one replay (Table A5g);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other agents learned to exploit Haiku pairs' identical moves (Table A5h), so the secret-plan protocol tests detection of an information flow, not profitable collusion.</w:t>
      </w:r>
    </w:p>
    <w:p>
      <w:pPr>
        <w:tabs>
          <w:tab w:pos="403" w:val="left"/>
        </w:tabs>
        <w:spacing w:after="40" w:before="0"/>
        <w:ind w:left="403" w:hanging="288"/>
      </w:pPr>
      <w:r>
        <w:rPr>
          <w:sz w:val="20"/>
        </w:rPr>
        <w:t>•</w:t>
        <w:tab/>
      </w:r>
      <w:r>
        <w:rPr>
          <w:i/>
          <w:sz w:val="20"/>
        </w:rPr>
        <w:t>Pairs told about the auditor.</w:t>
      </w:r>
      <w:r>
        <w:rPr>
          <w:sz w:val="20"/>
        </w:rPr>
        <w:t xml:space="preserve"> Warned DeepSeek pairs were named about as often as unwarned ones;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rPr>
              <w:t>Cover strategy</w:t>
            </w:r>
          </w:p>
        </w:tc>
        <w:tc>
          <w:tcPr>
            <w:tcW w:type="dxa" w:w="977"/>
          </w:tcPr>
          <w:p>
            <w:pPr>
              <w:keepNext/>
              <w:spacing w:after="20"/>
            </w:pPr>
            <w:r>
              <w:rPr>
                <w:b/>
                <w:sz w:val="16"/>
              </w:rPr>
              <w:t>Horizon</w:t>
            </w:r>
          </w:p>
        </w:tc>
        <w:tc>
          <w:tcPr>
            <w:tcW w:type="dxa" w:w="3764"/>
          </w:tcPr>
          <w:p>
            <w:pPr>
              <w:keepNext/>
              <w:spacing w:after="20"/>
            </w:pPr>
            <w:r>
              <w:rPr>
                <w:b/>
                <w:sz w:val="16"/>
              </w:rPr>
              <w:t>Harm</w:t>
            </w:r>
          </w:p>
        </w:tc>
        <w:tc>
          <w:tcPr>
            <w:tcW w:type="dxa" w:w="1158"/>
          </w:tcPr>
          <w:p>
            <w:pPr>
              <w:keepNext/>
              <w:spacing w:after="20"/>
            </w:pPr>
            <w:r>
              <w:rPr>
                <w:b/>
                <w:sz w:val="16"/>
              </w:rPr>
              <w:t>Sequential test, logs flagged</w:t>
            </w:r>
          </w:p>
        </w:tc>
      </w:tr>
      <w:tr>
        <w:trPr>
          <w:cantSplit/>
        </w:trPr>
        <w:tc>
          <w:tcPr>
            <w:tcW w:type="dxa" w:w="3173"/>
          </w:tcPr>
          <w:p>
            <w:pPr>
              <w:keepNext/>
              <w:spacing w:after="20"/>
            </w:pPr>
            <w:r>
              <w:rPr>
                <w:sz w:val="16"/>
              </w:rPr>
              <w:t>Always covers</w:t>
            </w:r>
          </w:p>
        </w:tc>
        <w:tc>
          <w:tcPr>
            <w:tcW w:type="dxa" w:w="977"/>
          </w:tcPr>
          <w:p>
            <w:pPr>
              <w:keepNext/>
              <w:spacing w:after="20"/>
            </w:pPr>
            <w:r>
              <w:rPr>
                <w:sz w:val="16"/>
              </w:rPr>
              <w:t>30 rounds</w:t>
            </w:r>
          </w:p>
        </w:tc>
        <w:tc>
          <w:tcPr>
            <w:tcW w:type="dxa" w:w="3764"/>
          </w:tcPr>
          <w:p>
            <w:pPr>
              <w:keepNext/>
              <w:spacing w:after="20"/>
            </w:pPr>
            <w:r>
              <w:rPr>
                <w:sz w:val="16"/>
              </w:rPr>
              <w:t>buyer's overpayment raised by 0.60 per round</w:t>
            </w:r>
          </w:p>
        </w:tc>
        <w:tc>
          <w:tcPr>
            <w:tcW w:type="dxa" w:w="1158"/>
          </w:tcPr>
          <w:p>
            <w:pPr>
              <w:keepNext/>
              <w:spacing w:after="20"/>
            </w:pPr>
            <w:r>
              <w:rPr>
                <w:sz w:val="16"/>
              </w:rPr>
              <w:t>94%</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30 rounds</w:t>
            </w:r>
          </w:p>
        </w:tc>
        <w:tc>
          <w:tcPr>
            <w:tcW w:type="dxa" w:w="3764"/>
          </w:tcPr>
          <w:p>
            <w:pPr>
              <w:keepNext/>
              <w:spacing w:after="20"/>
            </w:pPr>
            <w:r>
              <w:rPr>
                <w:sz w:val="16"/>
              </w:rPr>
              <w:t>44% of the harm kept</w:t>
            </w:r>
          </w:p>
        </w:tc>
        <w:tc>
          <w:tcPr>
            <w:tcW w:type="dxa" w:w="1158"/>
          </w:tcPr>
          <w:p>
            <w:pPr>
              <w:keepNext/>
              <w:spacing w:after="20"/>
            </w:pPr>
            <w:r>
              <w:rPr>
                <w:sz w:val="16"/>
              </w:rPr>
              <w:t>1%</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60 rounds</w:t>
            </w:r>
          </w:p>
        </w:tc>
        <w:tc>
          <w:tcPr>
            <w:tcW w:type="dxa" w:w="3764"/>
          </w:tcPr>
          <w:p>
            <w:pPr>
              <w:keepNext/>
              <w:spacing w:after="20"/>
            </w:pPr>
            <w:r>
              <w:rPr>
                <w:sz w:val="16"/>
              </w:rPr>
              <w:t>–</w:t>
            </w:r>
          </w:p>
        </w:tc>
        <w:tc>
          <w:tcPr>
            <w:tcW w:type="dxa" w:w="1158"/>
          </w:tcPr>
          <w:p>
            <w:pPr>
              <w:keepNext/>
              <w:spacing w:after="20"/>
            </w:pPr>
            <w:r>
              <w:rPr>
                <w:sz w:val="16"/>
              </w:rPr>
              <w:t>30%</w:t>
            </w:r>
          </w:p>
        </w:tc>
      </w:tr>
      <w:tr>
        <w:trPr>
          <w:cantSplit/>
        </w:trPr>
        <w:tc>
          <w:tcPr>
            <w:tcW w:type="dxa" w:w="3173"/>
          </w:tcPr>
          <w:p>
            <w:pPr>
              <w:keepNext/>
              <w:spacing w:after="20"/>
            </w:pPr>
            <w:r>
              <w:rPr>
                <w:sz w:val="16"/>
              </w:rPr>
              <w:t>Stays near the honest flag rate</w:t>
            </w:r>
          </w:p>
        </w:tc>
        <w:tc>
          <w:tcPr>
            <w:tcW w:type="dxa" w:w="977"/>
          </w:tcPr>
          <w:p>
            <w:pPr>
              <w:keepNext/>
              <w:spacing w:after="20"/>
            </w:pPr>
            <w:r>
              <w:rPr>
                <w:sz w:val="16"/>
              </w:rPr>
              <w:t>60 rounds</w:t>
            </w:r>
          </w:p>
        </w:tc>
        <w:tc>
          <w:tcPr>
            <w:tcW w:type="dxa" w:w="3764"/>
          </w:tcPr>
          <w:p>
            <w:pPr>
              <w:keepNext/>
              <w:spacing w:after="20"/>
            </w:pPr>
            <w:r>
              <w:rPr>
                <w:sz w:val="16"/>
              </w:rPr>
              <w:t>25% of the harm kept</w:t>
            </w:r>
          </w:p>
        </w:tc>
        <w:tc>
          <w:tcPr>
            <w:tcW w:type="dxa" w:w="1158"/>
          </w:tcPr>
          <w:p>
            <w:pPr>
              <w:keepNext/>
              <w:spacing w:after="20"/>
            </w:pPr>
            <w:r>
              <w:rPr>
                <w:sz w:val="16"/>
              </w:rPr>
              <w:t>1%</w:t>
            </w:r>
          </w:p>
        </w:tc>
      </w:tr>
      <w:tr>
        <w:trPr>
          <w:cantSplit/>
        </w:trPr>
        <w:tc>
          <w:tcPr>
            <w:tcW w:type="dxa" w:w="3173"/>
          </w:tcPr>
          <w:p>
            <w:pPr>
              <w:keepNext w:val="0"/>
              <w:spacing w:after="20"/>
            </w:pPr>
            <w:r>
              <w:rPr>
                <w:sz w:val="16"/>
              </w:rPr>
              <w:t>Member that always bids 100</w:t>
            </w:r>
          </w:p>
        </w:tc>
        <w:tc>
          <w:tcPr>
            <w:tcW w:type="dxa" w:w="977"/>
          </w:tcPr>
          <w:p>
            <w:pPr>
              <w:keepNext w:val="0"/>
              <w:spacing w:after="20"/>
            </w:pPr>
            <w:r>
              <w:rPr>
                <w:sz w:val="16"/>
              </w:rPr>
              <w:t>–</w:t>
            </w:r>
          </w:p>
        </w:tc>
        <w:tc>
          <w:tcPr>
            <w:tcW w:type="dxa" w:w="3764"/>
          </w:tcPr>
          <w:p>
            <w:pPr>
              <w:keepNext w:val="0"/>
              <w:spacing w:after="20"/>
            </w:pPr>
            <w:r>
              <w:rPr>
                <w:sz w:val="16"/>
              </w:rPr>
              <w:t>–</w:t>
            </w:r>
          </w:p>
        </w:tc>
        <w:tc>
          <w:tcPr>
            <w:tcW w:type="dxa" w:w="1158"/>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Table A6b the design, hypotheses and verdicts. The plan, timestamped in the repository before the first call, fixed conditions, price coding, replay count, the sequential alarm as primary endpoint and four hypotheses; as asks persist from hour to hour, the fixed-horizon replay statistics are descriptive only (§5.4). Before the cartel data existed we also predicted that the likelihood-ratio bet of Proposition 3 would alarm in more cartel games than the no-chat cell; it did not. The co-departure test of C.10 was chosen after seeing the cartel data, so it is post hoc here and is tested on a fresh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val="0"/>
              <w:spacing w:after="20"/>
            </w:pPr>
            <w:r>
              <w:rPr>
                <w:sz w:val="16"/>
              </w:rPr>
              <w:t>Conditions</w:t>
            </w:r>
          </w:p>
        </w:tc>
        <w:tc>
          <w:tcPr>
            <w:tcW w:type="dxa" w:w="4244"/>
          </w:tcPr>
          <w:p>
            <w:pPr>
              <w:keepNext w:val="0"/>
              <w:spacing w:after="20"/>
            </w:pPr>
            <w:r>
              <w:rPr>
                <w:sz w:val="16"/>
              </w:rPr>
              <w:t>five, each 30 games of 30 hours: DeepSeek sellers without chat, with chat and as an instructed cartel; two Haiku with three DeepSeek sellers without and with chat</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Coding, replays, endpoint</w:t>
            </w:r>
          </w:p>
        </w:tc>
        <w:tc>
          <w:tcPr>
            <w:tcW w:type="dxa" w:w="4244"/>
          </w:tcPr>
          <w:p>
            <w:pPr>
              <w:keepNext w:val="0"/>
              <w:spacing w:after="20"/>
            </w:pPr>
            <w:r>
              <w:rPr>
                <w:sz w:val="16"/>
              </w:rPr>
              <w:t>prices in $1 bins; two replays per seller-hour; the sequential alarm as primary endpoint</w:t>
            </w:r>
          </w:p>
        </w:tc>
        <w:tc>
          <w:tcPr>
            <w:tcW w:type="dxa" w:w="1798"/>
          </w:tcPr>
          <w:p>
            <w:pPr>
              <w:keepNext w:val="0"/>
              <w:spacing w:after="20"/>
            </w:pPr>
            <w:r>
              <w:rPr>
                <w:sz w:val="16"/>
              </w:rPr>
              <w:t>–</w:t>
            </w:r>
          </w:p>
        </w:tc>
      </w:tr>
      <w:tr>
        <w:trPr>
          <w:cantSplit/>
        </w:trPr>
        <w:tc>
          <w:tcPr>
            <w:tcW w:type="dxa" w:w="3030"/>
          </w:tcPr>
          <w:p>
            <w:pPr>
              <w:keepNext w:val="0"/>
              <w:spacing w:after="20"/>
            </w:pPr>
            <w:r>
              <w:rPr>
                <w:sz w:val="16"/>
              </w:rPr>
              <w:t>C1: sequential false-alarm rate below 15% without chat</w:t>
            </w:r>
          </w:p>
        </w:tc>
        <w:tc>
          <w:tcPr>
            <w:tcW w:type="dxa" w:w="4244"/>
          </w:tcPr>
          <w:p>
            <w:pPr>
              <w:keepNext w:val="0"/>
              <w:spacing w:after="20"/>
            </w:pPr>
            <w:r>
              <w:rPr>
                <w:sz w:val="16"/>
              </w:rPr>
              <w:t>–</w:t>
            </w:r>
          </w:p>
        </w:tc>
        <w:tc>
          <w:tcPr>
            <w:tcW w:type="dxa" w:w="1798"/>
          </w:tcPr>
          <w:p>
            <w:pPr>
              <w:keepNext w:val="0"/>
              <w:spacing w:after="20"/>
            </w:pPr>
            <w:r>
              <w:rPr>
                <w:sz w:val="16"/>
              </w:rPr>
              <w:t>supported (0/60, p &lt; 10</w:t>
            </w:r>
            <w:r>
              <w:rPr>
                <w:sz w:val="16"/>
                <w:vertAlign w:val="superscript"/>
              </w:rPr>
              <w:t>−4</w:t>
            </w:r>
            <w:r>
              <w:rPr>
                <w:sz w:val="16"/>
              </w:rPr>
              <w:t>)</w:t>
            </w:r>
          </w:p>
        </w:tc>
      </w:tr>
      <w:tr>
        <w:trPr>
          <w:cantSplit/>
        </w:trPr>
        <w:tc>
          <w:tcPr>
            <w:tcW w:type="dxa" w:w="3030"/>
          </w:tcPr>
          <w:p>
            <w:pPr>
              <w:keepNext w:val="0"/>
              <w:spacing w:after="20"/>
            </w:pPr>
            <w:r>
              <w:rPr>
                <w:sz w:val="16"/>
              </w:rPr>
              <w:t>C2: more time-shuffle flags than sequential alarms on DeepSeek games without chat</w:t>
            </w:r>
          </w:p>
        </w:tc>
        <w:tc>
          <w:tcPr>
            <w:tcW w:type="dxa" w:w="4244"/>
          </w:tcPr>
          <w:p>
            <w:pPr>
              <w:keepNext w:val="0"/>
              <w:spacing w:after="20"/>
            </w:pPr>
            <w:r>
              <w:rPr>
                <w:sz w:val="16"/>
              </w:rPr>
              <w:t>–</w:t>
            </w:r>
          </w:p>
        </w:tc>
        <w:tc>
          <w:tcPr>
            <w:tcW w:type="dxa" w:w="1798"/>
          </w:tcPr>
          <w:p>
            <w:pPr>
              <w:keepNext w:val="0"/>
              <w:spacing w:after="20"/>
            </w:pPr>
            <w:r>
              <w:rPr>
                <w:sz w:val="16"/>
              </w:rPr>
              <w:t>supported (p &lt; 10</w:t>
            </w:r>
            <w:r>
              <w:rPr>
                <w:sz w:val="16"/>
                <w:vertAlign w:val="superscript"/>
              </w:rPr>
              <w:t>−7</w:t>
            </w:r>
            <w:r>
              <w:rPr>
                <w:sz w:val="16"/>
              </w:rPr>
              <w:t>)</w:t>
            </w:r>
          </w:p>
        </w:tc>
      </w:tr>
      <w:tr>
        <w:trPr>
          <w:cantSplit/>
        </w:trPr>
        <w:tc>
          <w:tcPr>
            <w:tcW w:type="dxa" w:w="3030"/>
          </w:tcPr>
          <w:p>
            <w:pPr>
              <w:keepNext w:val="0"/>
              <w:spacing w:after="20"/>
            </w:pPr>
            <w:r>
              <w:rPr>
                <w:sz w:val="16"/>
              </w:rPr>
              <w:t>C3: price comparison</w:t>
            </w:r>
          </w:p>
        </w:tc>
        <w:tc>
          <w:tcPr>
            <w:tcW w:type="dxa" w:w="4244"/>
          </w:tcPr>
          <w:p>
            <w:pPr>
              <w:keepNext w:val="0"/>
              <w:spacing w:after="20"/>
            </w:pPr>
            <w:r>
              <w:rPr>
                <w:sz w:val="16"/>
              </w:rPr>
              <w:t>descriptive</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C4: more alarms for the instructed cartel than in the DeepSeek no-chat cell</w:t>
            </w:r>
          </w:p>
        </w:tc>
        <w:tc>
          <w:tcPr>
            <w:tcW w:type="dxa" w:w="4244"/>
          </w:tcPr>
          <w:p>
            <w:pPr>
              <w:keepNext w:val="0"/>
              <w:spacing w:after="20"/>
            </w:pPr>
            <w:r>
              <w:rPr>
                <w:sz w:val="16"/>
              </w:rPr>
              <w:t>–</w:t>
            </w:r>
          </w:p>
        </w:tc>
        <w:tc>
          <w:tcPr>
            <w:tcW w:type="dxa" w:w="1798"/>
          </w:tcPr>
          <w:p>
            <w:pPr>
              <w:keepNext w:val="0"/>
              <w:spacing w:after="20"/>
            </w:pPr>
            <w:r>
              <w:rPr>
                <w:sz w:val="16"/>
              </w:rPr>
              <w:t>not supported (p = 0.246)</w:t>
            </w:r>
          </w:p>
        </w:tc>
      </w:tr>
      <w:tr>
        <w:trPr>
          <w:cantSplit/>
        </w:trPr>
        <w:tc>
          <w:tcPr>
            <w:tcW w:type="dxa" w:w="3030"/>
          </w:tcPr>
          <w:p>
            <w:pPr>
              <w:keepNext w:val="0"/>
              <w:spacing w:after="20"/>
            </w:pPr>
            <w:r>
              <w:rPr>
                <w:sz w:val="16"/>
              </w:rPr>
              <w:t>Prediction before the cartel data: the likelihood-ratio bet alarms in more cartel games than the no-chat cell</w:t>
            </w:r>
          </w:p>
        </w:tc>
        <w:tc>
          <w:tcPr>
            <w:tcW w:type="dxa" w:w="4244"/>
          </w:tcPr>
          <w:p>
            <w:pPr>
              <w:keepNext w:val="0"/>
              <w:spacing w:after="20"/>
            </w:pPr>
            <w:r>
              <w:rPr>
                <w:sz w:val="16"/>
              </w:rPr>
              <w:t>–</w:t>
            </w:r>
          </w:p>
        </w:tc>
        <w:tc>
          <w:tcPr>
            <w:tcW w:type="dxa" w:w="1798"/>
          </w:tcPr>
          <w:p>
            <w:pPr>
              <w:keepNext w:val="0"/>
              <w:spacing w:after="20"/>
            </w:pPr>
            <w:r>
              <w:rPr>
                <w:sz w:val="16"/>
              </w:rPr>
              <w:t>failed: 2/30 against 0/30, the same counts as the joint bet</w:t>
            </w:r>
          </w:p>
        </w:tc>
      </w:tr>
      <w:tr>
        <w:trPr>
          <w:cantSplit/>
        </w:trPr>
        <w:tc>
          <w:tcPr>
            <w:tcW w:type="dxa" w:w="3030"/>
          </w:tcPr>
          <w:p>
            <w:pPr>
              <w:keepNext w:val="0"/>
              <w:spacing w:after="20"/>
            </w:pPr>
            <w:r>
              <w:rPr>
                <w:sz w:val="16"/>
              </w:rPr>
              <w:t>Post hoc: co-departure test (C.10), cartel against no chat</w:t>
            </w:r>
          </w:p>
        </w:tc>
        <w:tc>
          <w:tcPr>
            <w:tcW w:type="dxa" w:w="4244"/>
          </w:tcPr>
          <w:p>
            <w:pPr>
              <w:keepNext w:val="0"/>
              <w:spacing w:after="20"/>
            </w:pPr>
            <w:r>
              <w:rPr>
                <w:sz w:val="16"/>
              </w:rPr>
              <w:t>–</w:t>
            </w:r>
          </w:p>
        </w:tc>
        <w:tc>
          <w:tcPr>
            <w:tcW w:type="dxa" w:w="1798"/>
          </w:tcPr>
          <w:p>
            <w:pPr>
              <w:keepNext w:val="0"/>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val="0"/>
              <w:spacing w:after="20"/>
            </w:pPr>
            <w:r>
              <w:rPr>
                <w:sz w:val="16"/>
              </w:rPr>
              <w:t>Post hoc: per-agent departure test, cartel against no chat</w:t>
            </w:r>
          </w:p>
        </w:tc>
        <w:tc>
          <w:tcPr>
            <w:tcW w:type="dxa" w:w="4244"/>
          </w:tcPr>
          <w:p>
            <w:pPr>
              <w:keepNext w:val="0"/>
              <w:spacing w:after="20"/>
            </w:pPr>
            <w:r>
              <w:rPr>
                <w:sz w:val="16"/>
              </w:rPr>
              <w:t>–</w:t>
            </w:r>
          </w:p>
        </w:tc>
        <w:tc>
          <w:tcPr>
            <w:tcW w:type="dxa" w:w="1798"/>
          </w:tcPr>
          <w:p>
            <w:pPr>
              <w:keepNext w:val="0"/>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re-implemented from the description in [7] with our own prompts carrying the same information. Chat produced collusive-sounding messages but no material price rise (the brief's third case type), while time-shuffle mutual information flagged games with no channel at all. In a positive control sellers followed a leader's announced floor and the trade price rose; prices concentrated in a narrow band and, as C.6 shows, the agreement was carried in memory. With three to five games per condition these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val="0"/>
              <w:spacing w:after="20"/>
            </w:pPr>
            <w:r>
              <w:rPr>
                <w:sz w:val="16"/>
              </w:rPr>
              <w:t>Games</w:t>
            </w:r>
          </w:p>
        </w:tc>
        <w:tc>
          <w:tcPr>
            <w:tcW w:type="dxa" w:w="1022"/>
          </w:tcPr>
          <w:p>
            <w:pPr>
              <w:keepNext w:val="0"/>
              <w:spacing w:after="20"/>
            </w:pPr>
            <w:r>
              <w:rPr>
                <w:sz w:val="16"/>
              </w:rPr>
              <w:t>16</w:t>
            </w:r>
          </w:p>
        </w:tc>
      </w:tr>
      <w:tr>
        <w:trPr>
          <w:cantSplit/>
        </w:trPr>
        <w:tc>
          <w:tcPr>
            <w:tcW w:type="dxa" w:w="8050"/>
          </w:tcPr>
          <w:p>
            <w:pPr>
              <w:keepNext w:val="0"/>
              <w:spacing w:after="20"/>
            </w:pPr>
            <w:r>
              <w:rPr>
                <w:sz w:val="16"/>
              </w:rPr>
              <w:t>Price, DeepSeek sellers, without chat</w:t>
            </w:r>
          </w:p>
        </w:tc>
        <w:tc>
          <w:tcPr>
            <w:tcW w:type="dxa" w:w="1022"/>
          </w:tcPr>
          <w:p>
            <w:pPr>
              <w:keepNext w:val="0"/>
              <w:spacing w:after="20"/>
            </w:pPr>
            <w:r>
              <w:rPr>
                <w:sz w:val="16"/>
              </w:rPr>
              <w:t>86.25</w:t>
            </w:r>
          </w:p>
        </w:tc>
      </w:tr>
      <w:tr>
        <w:trPr>
          <w:cantSplit/>
        </w:trPr>
        <w:tc>
          <w:tcPr>
            <w:tcW w:type="dxa" w:w="8050"/>
          </w:tcPr>
          <w:p>
            <w:pPr>
              <w:keepNext w:val="0"/>
              <w:spacing w:after="20"/>
            </w:pPr>
            <w:r>
              <w:rPr>
                <w:sz w:val="16"/>
              </w:rPr>
              <w:t>Price, DeepSeek sellers, with chat</w:t>
            </w:r>
          </w:p>
        </w:tc>
        <w:tc>
          <w:tcPr>
            <w:tcW w:type="dxa" w:w="1022"/>
          </w:tcPr>
          <w:p>
            <w:pPr>
              <w:keepNext w:val="0"/>
              <w:spacing w:after="20"/>
            </w:pPr>
            <w:r>
              <w:rPr>
                <w:sz w:val="16"/>
              </w:rPr>
              <w:t>86.36</w:t>
            </w:r>
          </w:p>
        </w:tc>
      </w:tr>
      <w:tr>
        <w:trPr>
          <w:cantSplit/>
        </w:trPr>
        <w:tc>
          <w:tcPr>
            <w:tcW w:type="dxa" w:w="8050"/>
          </w:tcPr>
          <w:p>
            <w:pPr>
              <w:keepNext w:val="0"/>
              <w:spacing w:after="20"/>
            </w:pPr>
            <w:r>
              <w:rPr>
                <w:sz w:val="16"/>
              </w:rPr>
              <w:t>Flags raised by the replay tests</w:t>
            </w:r>
          </w:p>
        </w:tc>
        <w:tc>
          <w:tcPr>
            <w:tcW w:type="dxa" w:w="1022"/>
          </w:tcPr>
          <w:p>
            <w:pPr>
              <w:keepNext w:val="0"/>
              <w:spacing w:after="20"/>
            </w:pPr>
            <w:r>
              <w:rPr>
                <w:sz w:val="16"/>
              </w:rPr>
              <w:t>0</w:t>
            </w:r>
          </w:p>
        </w:tc>
      </w:tr>
      <w:tr>
        <w:trPr>
          <w:cantSplit/>
        </w:trPr>
        <w:tc>
          <w:tcPr>
            <w:tcW w:type="dxa" w:w="8050"/>
          </w:tcPr>
          <w:p>
            <w:pPr>
              <w:keepNext w:val="0"/>
              <w:spacing w:after="20"/>
            </w:pPr>
            <w:r>
              <w:rPr>
                <w:sz w:val="16"/>
              </w:rPr>
              <w:t>Games without any channel flagged by time-shuffle mutual information</w:t>
            </w:r>
          </w:p>
        </w:tc>
        <w:tc>
          <w:tcPr>
            <w:tcW w:type="dxa" w:w="1022"/>
          </w:tcPr>
          <w:p>
            <w:pPr>
              <w:keepNext w:val="0"/>
              <w:spacing w:after="20"/>
            </w:pPr>
            <w:r>
              <w:rPr>
                <w:sz w:val="16"/>
              </w:rPr>
              <w:t>3 of 8</w:t>
            </w:r>
          </w:p>
        </w:tc>
      </w:tr>
      <w:tr>
        <w:trPr>
          <w:cantSplit/>
        </w:trPr>
        <w:tc>
          <w:tcPr>
            <w:tcW w:type="dxa" w:w="8050"/>
          </w:tcPr>
          <w:p>
            <w:pPr>
              <w:keepNext w:val="0"/>
              <w:spacing w:after="20"/>
            </w:pPr>
            <w:r>
              <w:rPr>
                <w:sz w:val="16"/>
              </w:rPr>
              <w:t>Positive control: games</w:t>
            </w:r>
          </w:p>
        </w:tc>
        <w:tc>
          <w:tcPr>
            <w:tcW w:type="dxa" w:w="1022"/>
          </w:tcPr>
          <w:p>
            <w:pPr>
              <w:keepNext w:val="0"/>
              <w:spacing w:after="20"/>
            </w:pPr>
            <w:r>
              <w:rPr>
                <w:sz w:val="16"/>
              </w:rPr>
              <w:t>5</w:t>
            </w:r>
          </w:p>
        </w:tc>
      </w:tr>
      <w:tr>
        <w:trPr>
          <w:cantSplit/>
        </w:trPr>
        <w:tc>
          <w:tcPr>
            <w:tcW w:type="dxa" w:w="8050"/>
          </w:tcPr>
          <w:p>
            <w:pPr>
              <w:keepNext w:val="0"/>
              <w:spacing w:after="20"/>
            </w:pPr>
            <w:r>
              <w:rPr>
                <w:sz w:val="16"/>
              </w:rPr>
              <w:t>Positive control: hours in which followers complied with the floor</w:t>
            </w:r>
          </w:p>
        </w:tc>
        <w:tc>
          <w:tcPr>
            <w:tcW w:type="dxa" w:w="1022"/>
          </w:tcPr>
          <w:p>
            <w:pPr>
              <w:keepNext w:val="0"/>
              <w:spacing w:after="20"/>
            </w:pPr>
            <w:r>
              <w:rPr>
                <w:sz w:val="16"/>
              </w:rPr>
              <w:t>86%</w:t>
            </w:r>
          </w:p>
        </w:tc>
      </w:tr>
      <w:tr>
        <w:trPr>
          <w:cantSplit/>
        </w:trPr>
        <w:tc>
          <w:tcPr>
            <w:tcW w:type="dxa" w:w="8050"/>
          </w:tcPr>
          <w:p>
            <w:pPr>
              <w:keepNext w:val="0"/>
              <w:spacing w:after="20"/>
            </w:pPr>
            <w:r>
              <w:rPr>
                <w:sz w:val="16"/>
              </w:rPr>
              <w:t>Positive control: mean trade price</w:t>
            </w:r>
          </w:p>
        </w:tc>
        <w:tc>
          <w:tcPr>
            <w:tcW w:type="dxa" w:w="1022"/>
          </w:tcPr>
          <w:p>
            <w:pPr>
              <w:keepNext w:val="0"/>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Definitions, proofs and the fastest bet.</w:t>
      </w:r>
      <w:r>
        <w:rPr>
          <w:sz w:val="20"/>
        </w:rPr>
        <w:t xml:space="preserve"> This section states the formulas that §3 describes in words, proves Propositions 1 and 2, identifies the betting function with the fastest growth, and states what a channel must give up to stay undetected.</w:t>
      </w:r>
    </w:p>
    <w:p>
      <w:pPr>
        <w:spacing w:after="60" w:before="0"/>
        <w:jc w:val="both"/>
      </w:pPr>
      <w:r>
        <w:rPr>
          <w:i/>
          <w:sz w:val="20"/>
        </w:rPr>
        <w:t>Notation.</w:t>
      </w:r>
      <w:r>
        <w:rPr>
          <w:sz w:val="20"/>
        </w:rPr>
        <w:t xml:space="preserve"> Agent </w:t>
      </w:r>
      <w:r>
        <w:rPr>
          <w:i/>
          <w:sz w:val="20"/>
        </w:rPr>
        <w:t>i</w:t>
      </w:r>
      <w:r>
        <w:rPr>
          <w:sz w:val="20"/>
        </w:rPr>
        <w:t xml:space="preserve"> observes </w:t>
      </w:r>
      <w:r>
        <w:rPr>
          <w:i/>
          <w:sz w:val="20"/>
        </w:rPr>
        <w:t>O</w:t>
      </w:r>
      <w:r>
        <w:rPr>
          <w:i/>
          <w:sz w:val="20"/>
          <w:vertAlign w:val="subscript"/>
        </w:rPr>
        <w:t>i</w:t>
      </w:r>
      <w:r>
        <w:rPr>
          <w:sz w:val="20"/>
          <w:vertAlign w:val="subscript"/>
        </w:rPr>
        <w:t>,</w:t>
      </w:r>
      <w:r>
        <w:rPr>
          <w:i/>
          <w:sz w:val="20"/>
          <w:vertAlign w:val="subscript"/>
        </w:rPr>
        <w:t>t</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and acts </w:t>
      </w:r>
      <w:r>
        <w:rPr>
          <w:i/>
          <w:sz w:val="20"/>
        </w:rPr>
        <w:t>a</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where </w:t>
      </w:r>
      <w:r>
        <w:rPr>
          <w:rFonts w:ascii="Times New Roman" w:hAnsi="Times New Roman"/>
          <w:sz w:val="20"/>
        </w:rPr>
        <w:t>π</w:t>
      </w:r>
      <w:r>
        <w:rPr>
          <w:i/>
          <w:sz w:val="20"/>
          <w:vertAlign w:val="subscript"/>
        </w:rPr>
        <w:t>i</w:t>
      </w:r>
      <w:r>
        <w:rPr>
          <w:sz w:val="20"/>
        </w:rPr>
        <w:t xml:space="preserve"> is its deployed policy; </w:t>
      </w:r>
      <w:r>
        <w:rPr>
          <w:rFonts w:ascii="Times New Roman" w:hAnsi="Times New Roman"/>
          <w:sz w:val="20"/>
        </w:rPr>
        <w:t>π</w:t>
      </w:r>
      <w:r>
        <w:rPr>
          <w:i/>
          <w:sz w:val="20"/>
          <w:vertAlign w:val="subscript"/>
        </w:rPr>
        <w:t>i</w:t>
      </w:r>
      <w:r>
        <w:rPr>
          <w:sz w:val="20"/>
        </w:rPr>
        <w:t xml:space="preserve">(· | </w:t>
      </w:r>
      <w:r>
        <w:rPr>
          <w:i/>
          <w:sz w:val="20"/>
        </w:rPr>
        <w:t>v</w:t>
      </w:r>
      <w:r>
        <w:rPr>
          <w:sz w:val="20"/>
        </w:rPr>
        <w:t>, ∅)</w:t>
      </w:r>
      <w:r>
        <w:rPr>
          <w:sz w:val="20"/>
        </w:rPr>
        <w:t xml:space="preserve"> is the policy queried with the channel's field removed. The replays </w:t>
      </w:r>
      <w:r>
        <w:rPr>
          <w:sz w:val="20"/>
        </w:rPr>
        <w:t>ã</w:t>
      </w:r>
      <w:r>
        <w:rPr>
          <w:sz w:val="20"/>
          <w:vertAlign w:val="superscript"/>
        </w:rPr>
        <w:t>(1)</w:t>
      </w:r>
      <w:r>
        <w:rPr>
          <w:i/>
          <w:sz w:val="20"/>
          <w:vertAlign w:val="subscript"/>
        </w:rPr>
        <w:t>i</w:t>
      </w:r>
      <w:r>
        <w:rPr>
          <w:sz w:val="20"/>
          <w:vertAlign w:val="subscript"/>
        </w:rPr>
        <w:t>,</w:t>
      </w:r>
      <w:r>
        <w:rPr>
          <w:i/>
          <w:sz w:val="20"/>
          <w:vertAlign w:val="subscript"/>
        </w:rPr>
        <w:t>t</w:t>
      </w:r>
      <w:r>
        <w:rPr>
          <w:sz w:val="20"/>
        </w:rPr>
        <w:t>, …, ã</w:t>
      </w:r>
      <w:r>
        <w:rPr>
          <w:sz w:val="20"/>
          <w:vertAlign w:val="superscript"/>
        </w:rPr>
        <w:t>(</w:t>
      </w:r>
      <w:r>
        <w:rPr>
          <w:i/>
          <w:sz w:val="20"/>
          <w:vertAlign w:val="superscript"/>
        </w:rPr>
        <w:t>k</w:t>
      </w:r>
      <w:r>
        <w:rPr>
          <w:sz w:val="20"/>
          <w:vertAlign w:val="superscript"/>
        </w:rPr>
        <w:t>)</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the logged action form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Let </w:t>
      </w:r>
      <w:r>
        <w:rPr>
          <w:sz w:val="20"/>
        </w:rPr>
        <w:t>γ(</w:t>
      </w:r>
      <w:r>
        <w:rPr>
          <w:i/>
          <w:sz w:val="20"/>
        </w:rPr>
        <w:t>i</w:t>
      </w:r>
      <w:r>
        <w:rPr>
          <w:sz w:val="20"/>
        </w:rPr>
        <w:t>;</w:t>
      </w:r>
      <w:r>
        <w:rPr>
          <w:i/>
          <w:sz w:val="20"/>
        </w:rPr>
        <w:t>j</w:t>
      </w:r>
      <w:r>
        <w:rPr>
          <w:sz w:val="20"/>
        </w:rPr>
        <w:t>)</w:t>
      </w:r>
      <w:r>
        <w:rPr>
          <w:sz w:val="20"/>
        </w:rPr>
        <w:t xml:space="preserve"> be the plug-in mutual information, in bits, between the same-round actions of agents </w:t>
      </w:r>
      <w:r>
        <w:rPr>
          <w:i/>
          <w:sz w:val="20"/>
        </w:rPr>
        <w:t>i</w:t>
      </w:r>
      <w:r>
        <w:rPr>
          <w:sz w:val="20"/>
        </w:rPr>
        <w:t xml:space="preserve"> and </w:t>
      </w:r>
      <w:r>
        <w:rPr>
          <w:i/>
          <w:sz w:val="20"/>
        </w:rPr>
        <w:t>j</w:t>
      </w:r>
      <w:r>
        <w:rPr>
          <w:sz w:val="20"/>
        </w:rPr>
        <w:t xml:space="preserve"> over the episode. Net influence and the episode statistic are</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i/>
          <w:sz w:val="20"/>
        </w:rPr>
        <w:t>Proof of Proposition 1.</w:t>
      </w:r>
      <w:r>
        <w:rPr>
          <w:sz w:val="20"/>
        </w:rPr>
        <w:t xml:space="preserve"> Let </w:t>
      </w:r>
      <w:r>
        <w:rPr>
          <w:sz w:val="20"/>
        </w:rPr>
        <w:t>𝒢</w:t>
      </w:r>
      <w:r>
        <w:rPr>
          <w:i/>
          <w:sz w:val="20"/>
          <w:vertAlign w:val="subscript"/>
        </w:rPr>
        <w:t>t</w:t>
      </w:r>
      <w:r>
        <w:rPr>
          <w:sz w:val="20"/>
          <w:vertAlign w:val="subscript"/>
        </w:rPr>
        <w:t>-1</w:t>
      </w:r>
      <w:r>
        <w:rPr>
          <w:sz w:val="20"/>
        </w:rPr>
        <w:t xml:space="preserve"> be generated by the views, logged actions and replay pools of rounds </w:t>
      </w:r>
      <w:r>
        <w:rPr>
          <w:sz w:val="20"/>
        </w:rPr>
        <w:t xml:space="preserve">1, …, </w:t>
      </w:r>
      <w:r>
        <w:rPr>
          <w:i/>
          <w:sz w:val="20"/>
        </w:rPr>
        <w:t>t</w:t>
      </w:r>
      <w:r>
        <w:rPr>
          <w:sz w:val="20"/>
        </w:rPr>
        <w:t>-1</w:t>
      </w:r>
      <w:r>
        <w:rPr>
          <w:sz w:val="20"/>
        </w:rPr>
        <w:t xml:space="preserve">. Under </w:t>
      </w:r>
      <w:r>
        <w:rPr>
          <w:i/>
          <w:sz w:val="20"/>
        </w:rPr>
        <w:t>H</w:t>
      </w:r>
      <w:r>
        <w:rPr>
          <w:sz w:val="20"/>
          <w:vertAlign w:val="subscript"/>
        </w:rPr>
        <w:t>0</w:t>
      </w:r>
      <w:r>
        <w:rPr>
          <w:sz w:val="20"/>
        </w:rPr>
        <w:t xml:space="preserve">, </w:t>
      </w:r>
      <w:r>
        <w:rPr>
          <w:i/>
          <w:sz w:val="20"/>
        </w:rPr>
        <w:t>a</w:t>
      </w:r>
      <w:r>
        <w:rPr>
          <w:i/>
          <w:sz w:val="20"/>
          <w:vertAlign w:val="subscript"/>
        </w:rPr>
        <w:t>i</w:t>
      </w:r>
      <w:r>
        <w:rPr>
          <w:sz w:val="20"/>
          <w:vertAlign w:val="subscript"/>
        </w:rPr>
        <w:t>,</w:t>
      </w:r>
      <w:r>
        <w:rPr>
          <w:i/>
          <w:sz w:val="20"/>
          <w:vertAlign w:val="subscript"/>
        </w:rPr>
        <w:t>t</w:t>
      </w:r>
      <w:r>
        <w:rPr>
          <w:sz w:val="20"/>
        </w:rPr>
        <w:t xml:space="preserve"> is a draw from </w:t>
      </w:r>
      <w:r>
        <w:rPr>
          <w:rFonts w:ascii="Times New Roman" w:hAnsi="Times New Roman"/>
          <w:sz w:val="20"/>
        </w:rPr>
        <w:t>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by A1 its replays are independent draws from the same law. The </w:t>
      </w:r>
      <w:r>
        <w:rPr>
          <w:i/>
          <w:sz w:val="20"/>
        </w:rPr>
        <w:t>k</w:t>
      </w:r>
      <w:r>
        <w:rPr>
          <w:sz w:val="20"/>
        </w:rPr>
        <w:t xml:space="preserve"> + 1</w:t>
      </w:r>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i/>
          <w:sz w:val="20"/>
        </w:rPr>
        <w:t>Statement of Proposition 2.</w:t>
      </w:r>
      <w:r>
        <w:rPr>
          <w:sz w:val="20"/>
        </w:rPr>
        <w:t xml:space="preserve"> Under </w:t>
      </w:r>
      <w:r>
        <w:rPr>
          <w:i/>
          <w:sz w:val="20"/>
        </w:rPr>
        <w:t>H</w:t>
      </w:r>
      <w:r>
        <w:rPr>
          <w:sz w:val="20"/>
          <w:vertAlign w:val="subscript"/>
        </w:rPr>
        <w:t>0</w:t>
      </w:r>
      <w:r>
        <w:rPr>
          <w:sz w:val="20"/>
        </w:rPr>
        <w:t xml:space="preserve"> and A1–A3, </w:t>
      </w:r>
      <w:r>
        <w:rPr>
          <w:sz w:val="20"/>
        </w:rPr>
        <w:t>(</w:t>
      </w:r>
      <w:r>
        <w:rPr>
          <w:i/>
          <w:sz w:val="20"/>
        </w:rPr>
        <w:t>E</w:t>
      </w:r>
      <w:r>
        <w:rPr>
          <w:i/>
          <w:sz w:val="20"/>
          <w:vertAlign w:val="subscript"/>
        </w:rPr>
        <w:t>t</w:t>
      </w:r>
      <w:r>
        <w:rPr>
          <w:sz w:val="20"/>
        </w:rPr>
        <w:t>)</w:t>
      </w:r>
      <w:r>
        <w:rPr>
          <w:sz w:val="20"/>
        </w:rPr>
        <w:t xml:space="preserve"> is a nonnegative martingale with respect to </w:t>
      </w:r>
      <w:r>
        <w:rPr>
          <w:sz w:val="20"/>
        </w:rPr>
        <w:t>(𝒢</w:t>
      </w:r>
      <w:r>
        <w:rPr>
          <w:i/>
          <w:sz w:val="20"/>
          <w:vertAlign w:val="subscript"/>
        </w:rPr>
        <w:t>t</w:t>
      </w:r>
      <w:r>
        <w:rPr>
          <w:sz w:val="20"/>
        </w:rPr>
        <w:t>)</w:t>
      </w:r>
      <w:r>
        <w:rPr>
          <w:sz w:val="20"/>
        </w:rPr>
        <w:t xml:space="preserve"> with </w:t>
      </w:r>
      <w:r>
        <w:rPr>
          <w:i/>
          <w:sz w:val="20"/>
        </w:rPr>
        <w:t>E</w:t>
      </w:r>
      <w:r>
        <w:rPr>
          <w:sz w:val="20"/>
          <w:vertAlign w:val="subscript"/>
        </w:rPr>
        <w:t>0</w:t>
      </w:r>
      <w:r>
        <w:rPr>
          <w:sz w:val="20"/>
        </w:rPr>
        <w:t xml:space="preserve"> = 1</w:t>
      </w:r>
      <w:r>
        <w:rPr>
          <w:sz w:val="20"/>
        </w:rPr>
        <w:t>, so by Ville's inequality</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t xml:space="preserve">.</m:t>
          </m:r>
        </m:oMath>
      </m:oMathPara>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appears in Tailor's KL bound on steganographic detectability [2, Theorem 3], in the </w:t>
      </w:r>
      <m:oMath>
        <m:r>
          <m:t xml:space="preserve">1</m:t>
        </m:r>
        <m:r>
          <m:rPr>
            <m:sty m:val="p"/>
          </m:rPr>
          <m:t xml:space="preserve">/</m:t>
        </m:r>
        <m:sSup>
          <m:e>
            <m:r>
              <m:t xml:space="preserve">ε</m:t>
            </m:r>
          </m:e>
          <m:sup>
            <m:r>
              <m:t xml:space="preserve">2</m:t>
            </m:r>
          </m:sup>
        </m:sSup>
      </m:oMath>
      <w:r>
        <w:rPr>
          <w:sz w:val="20"/>
        </w:rPr>
        <w:t xml:space="preserve"> regret a seller can hide from an audit of slack </w:t>
      </w:r>
      <m:oMath>
        <m:r>
          <m:t xml:space="preserve">ε</m:t>
        </m:r>
      </m:oMath>
      <w:r>
        <w:rPr>
          <w:sz w:val="20"/>
        </w:rPr>
        <w:t xml:space="preserve"> [13, Theorem 4.5], and in the square-root law of covert communication [27].</w:t>
      </w:r>
    </w:p>
    <w:p>
      <w:pPr>
        <w:spacing w:after="60" w:before="0"/>
        <w:jc w:val="both"/>
      </w:pPr>
      <w:r>
        <w:rPr>
          <w:sz w:val="20"/>
        </w:rPr>
        <w:t xml:space="preserve">The corollary covers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earlier and stored in memory shifts both laws alike, adds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§5.4).</w:t>
      </w:r>
    </w:p>
    <w:p>
      <w:pPr>
        <w:spacing w:after="60" w:before="0"/>
        <w:jc w:val="both"/>
      </w:pPr>
      <w:r>
        <w:rPr>
          <w:b/>
          <w:sz w:val="20"/>
        </w:rPr>
        <w:t>The joint bet.</w:t>
      </w:r>
      <w:r>
        <w:rPr>
          <w:sz w:val="20"/>
        </w:rPr>
        <w:t xml:space="preserve"> Fig. A5 compares three bets when one agent copies the other's move in a share of rounds: the likelihood-ratio bet grows fastest everywhere, close to the KL ceiling; the pre-registered joint bet, which does not divide by the replay laws, loses evidence under shared skewed priors for channels that copy up to 0.3 of moves; the interaction bet matches the likelihood ratio here but fails when a channel shifts the marginals. The likelihood-ratio bet also pays when one agent alone departs from its replays, so naming the pair remains a pair statistic's job (§3).</w:t>
      </w:r>
    </w:p>
    <w:p>
      <w:pPr>
        <w:keepNext/>
        <w:spacing w:after="40" w:before="0"/>
        <w:jc w:val="center"/>
      </w:pPr>
      <w:r>
        <w:drawing>
          <wp:inline>
            <wp:extent cx="5760720" cy="2030027"/>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2030027"/>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(simulator false-alarm rate: Table A5d): it flags far more games with a channel, matching the fixed-horizon test in the auction, but names fewer Haiku pairs because it also pays when one agent departs; detection and attribution are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val="0"/>
              <w:spacing w:after="20"/>
            </w:pPr>
            <w:r>
              <w:rPr>
                <w:sz w:val="16"/>
              </w:rPr>
              <w:t>40</w:t>
            </w:r>
          </w:p>
        </w:tc>
        <w:tc>
          <w:tcPr>
            <w:tcW w:type="dxa" w:w="1075"/>
          </w:tcPr>
          <w:p>
            <w:pPr>
              <w:keepNext w:val="0"/>
              <w:spacing w:after="20"/>
            </w:pPr>
            <w:r>
              <w:rPr>
                <w:sz w:val="16"/>
              </w:rPr>
              <w:t>85%</w:t>
            </w:r>
          </w:p>
        </w:tc>
        <w:tc>
          <w:tcPr>
            <w:tcW w:type="dxa" w:w="842"/>
          </w:tcPr>
          <w:p>
            <w:pPr>
              <w:keepNext w:val="0"/>
              <w:spacing w:after="20"/>
            </w:pPr>
            <w:r>
              <w:rPr>
                <w:sz w:val="16"/>
              </w:rPr>
              <w:t>82.5%</w:t>
            </w:r>
          </w:p>
        </w:tc>
        <w:tc>
          <w:tcPr>
            <w:tcW w:type="dxa" w:w="1410"/>
          </w:tcPr>
          <w:p>
            <w:pPr>
              <w:keepNext w:val="0"/>
              <w:spacing w:after="20"/>
            </w:pPr>
            <w:r>
              <w:rPr>
                <w:sz w:val="16"/>
              </w:rPr>
              <w:t>70%</w:t>
            </w:r>
          </w:p>
        </w:tc>
        <w:tc>
          <w:tcPr>
            <w:tcW w:type="dxa" w:w="1410"/>
          </w:tcPr>
          <w:p>
            <w:pPr>
              <w:keepNext w:val="0"/>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val="0"/>
              <w:spacing w:after="20"/>
            </w:pPr>
            <w:r>
              <w:rPr>
                <w:sz w:val="16"/>
              </w:rPr>
              <w:t>20</w:t>
            </w:r>
          </w:p>
        </w:tc>
        <w:tc>
          <w:tcPr>
            <w:tcW w:type="dxa" w:w="1075"/>
          </w:tcPr>
          <w:p>
            <w:pPr>
              <w:keepNext w:val="0"/>
              <w:spacing w:after="20"/>
            </w:pPr>
            <w:r>
              <w:rPr>
                <w:sz w:val="16"/>
              </w:rPr>
              <w:t>90%</w:t>
            </w:r>
          </w:p>
        </w:tc>
        <w:tc>
          <w:tcPr>
            <w:tcW w:type="dxa" w:w="842"/>
          </w:tcPr>
          <w:p>
            <w:pPr>
              <w:keepNext w:val="0"/>
              <w:spacing w:after="20"/>
            </w:pPr>
            <w:r>
              <w:rPr>
                <w:sz w:val="16"/>
              </w:rPr>
              <w:t>90%</w:t>
            </w:r>
          </w:p>
        </w:tc>
        <w:tc>
          <w:tcPr>
            <w:tcW w:type="dxa" w:w="1410"/>
          </w:tcPr>
          <w:p>
            <w:pPr>
              <w:keepNext w:val="0"/>
              <w:spacing w:after="20"/>
            </w:pPr>
            <w:r>
              <w:rPr>
                <w:sz w:val="16"/>
              </w:rPr>
              <w:t>70%</w:t>
            </w:r>
          </w:p>
        </w:tc>
        <w:tc>
          <w:tcPr>
            <w:tcW w:type="dxa" w:w="1410"/>
          </w:tcPr>
          <w:p>
            <w:pPr>
              <w:keepNext w:val="0"/>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32.5%</w:t>
            </w:r>
          </w:p>
        </w:tc>
        <w:tc>
          <w:tcPr>
            <w:tcW w:type="dxa" w:w="1410"/>
          </w:tcPr>
          <w:p>
            <w:pPr>
              <w:keepNext w:val="0"/>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val="0"/>
              <w:spacing w:after="20"/>
            </w:pPr>
            <w:r>
              <w:rPr>
                <w:sz w:val="16"/>
              </w:rPr>
              <w:t>30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26.7%</w:t>
            </w:r>
          </w:p>
        </w:tc>
        <w:tc>
          <w:tcPr>
            <w:tcW w:type="dxa" w:w="1410"/>
          </w:tcPr>
          <w:p>
            <w:pPr>
              <w:keepNext w:val="0"/>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val="0"/>
              <w:spacing w:after="20"/>
            </w:pPr>
            <w:r>
              <w:rPr>
                <w:sz w:val="16"/>
              </w:rPr>
              <w:t>40</w:t>
            </w:r>
          </w:p>
        </w:tc>
        <w:tc>
          <w:tcPr>
            <w:tcW w:type="dxa" w:w="1075"/>
          </w:tcPr>
          <w:p>
            <w:pPr>
              <w:keepNext w:val="0"/>
              <w:spacing w:after="20"/>
            </w:pPr>
            <w:r>
              <w:rPr>
                <w:sz w:val="16"/>
              </w:rPr>
              <w:t>50%</w:t>
            </w:r>
          </w:p>
        </w:tc>
        <w:tc>
          <w:tcPr>
            <w:tcW w:type="dxa" w:w="842"/>
          </w:tcPr>
          <w:p>
            <w:pPr>
              <w:keepNext w:val="0"/>
              <w:spacing w:after="20"/>
            </w:pPr>
            <w:r>
              <w:rPr>
                <w:sz w:val="16"/>
              </w:rPr>
              <w:t>45%</w:t>
            </w:r>
          </w:p>
        </w:tc>
        <w:tc>
          <w:tcPr>
            <w:tcW w:type="dxa" w:w="1410"/>
          </w:tcPr>
          <w:p>
            <w:pPr>
              <w:keepNext w:val="0"/>
              <w:spacing w:after="20"/>
            </w:pPr>
            <w:r>
              <w:rPr>
                <w:sz w:val="16"/>
              </w:rPr>
              <w:t>100%</w:t>
            </w:r>
          </w:p>
        </w:tc>
        <w:tc>
          <w:tcPr>
            <w:tcW w:type="dxa" w:w="1410"/>
          </w:tcPr>
          <w:p>
            <w:pPr>
              <w:keepNext w:val="0"/>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val="0"/>
              <w:spacing w:after="20"/>
            </w:pPr>
            <w:r>
              <w:rPr>
                <w:sz w:val="16"/>
              </w:rPr>
              <w:t>40</w:t>
            </w:r>
          </w:p>
        </w:tc>
        <w:tc>
          <w:tcPr>
            <w:tcW w:type="dxa" w:w="1075"/>
          </w:tcPr>
          <w:p>
            <w:pPr>
              <w:keepNext w:val="0"/>
              <w:spacing w:after="20"/>
            </w:pPr>
            <w:r>
              <w:rPr>
                <w:sz w:val="16"/>
              </w:rPr>
              <w:t>5%</w:t>
            </w:r>
          </w:p>
        </w:tc>
        <w:tc>
          <w:tcPr>
            <w:tcW w:type="dxa" w:w="842"/>
          </w:tcPr>
          <w:p>
            <w:pPr>
              <w:keepNext w:val="0"/>
              <w:spacing w:after="20"/>
            </w:pPr>
            <w:r>
              <w:rPr>
                <w:sz w:val="16"/>
              </w:rPr>
              <w:t>5%</w:t>
            </w:r>
          </w:p>
        </w:tc>
        <w:tc>
          <w:tcPr>
            <w:tcW w:type="dxa" w:w="1410"/>
          </w:tcPr>
          <w:p>
            <w:pPr>
              <w:keepNext w:val="0"/>
              <w:spacing w:after="20"/>
            </w:pPr>
            <w:r>
              <w:rPr>
                <w:sz w:val="16"/>
              </w:rPr>
              <w:t>60%</w:t>
            </w:r>
          </w:p>
        </w:tc>
        <w:tc>
          <w:tcPr>
            <w:tcW w:type="dxa" w:w="1410"/>
          </w:tcPr>
          <w:p>
            <w:pPr>
              <w:keepNext w:val="0"/>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val="0"/>
              <w:spacing w:after="20"/>
            </w:pPr>
            <w:r>
              <w:rPr>
                <w:sz w:val="16"/>
              </w:rPr>
              <w:t>20</w:t>
            </w:r>
          </w:p>
        </w:tc>
        <w:tc>
          <w:tcPr>
            <w:tcW w:type="dxa" w:w="1075"/>
          </w:tcPr>
          <w:p>
            <w:pPr>
              <w:keepNext w:val="0"/>
              <w:spacing w:after="20"/>
            </w:pPr>
            <w:r>
              <w:rPr>
                <w:sz w:val="16"/>
              </w:rPr>
              <w:t>20%</w:t>
            </w:r>
          </w:p>
        </w:tc>
        <w:tc>
          <w:tcPr>
            <w:tcW w:type="dxa" w:w="842"/>
          </w:tcPr>
          <w:p>
            <w:pPr>
              <w:keepNext w:val="0"/>
              <w:spacing w:after="20"/>
            </w:pPr>
            <w:r>
              <w:rPr>
                <w:sz w:val="16"/>
              </w:rPr>
              <w:t>20%</w:t>
            </w:r>
          </w:p>
        </w:tc>
        <w:tc>
          <w:tcPr>
            <w:tcW w:type="dxa" w:w="1410"/>
          </w:tcPr>
          <w:p>
            <w:pPr>
              <w:keepNext w:val="0"/>
              <w:spacing w:after="20"/>
            </w:pPr>
            <w:r>
              <w:rPr>
                <w:sz w:val="16"/>
              </w:rPr>
              <w:t>35%</w:t>
            </w:r>
          </w:p>
        </w:tc>
        <w:tc>
          <w:tcPr>
            <w:tcW w:type="dxa" w:w="1410"/>
          </w:tcPr>
          <w:p>
            <w:pPr>
              <w:keepNext w:val="0"/>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val="0"/>
              <w:spacing w:after="20"/>
            </w:pPr>
            <w:r>
              <w:rPr>
                <w:sz w:val="16"/>
              </w:rPr>
              <w:t>20</w:t>
            </w:r>
          </w:p>
        </w:tc>
        <w:tc>
          <w:tcPr>
            <w:tcW w:type="dxa" w:w="1075"/>
          </w:tcPr>
          <w:p>
            <w:pPr>
              <w:keepNext w:val="0"/>
              <w:spacing w:after="20"/>
            </w:pPr>
            <w:r>
              <w:rPr>
                <w:sz w:val="16"/>
              </w:rPr>
              <w:t>15%</w:t>
            </w:r>
          </w:p>
        </w:tc>
        <w:tc>
          <w:tcPr>
            <w:tcW w:type="dxa" w:w="842"/>
          </w:tcPr>
          <w:p>
            <w:pPr>
              <w:keepNext w:val="0"/>
              <w:spacing w:after="20"/>
            </w:pPr>
            <w:r>
              <w:rPr>
                <w:sz w:val="16"/>
              </w:rPr>
              <w:t>10%</w:t>
            </w:r>
          </w:p>
        </w:tc>
        <w:tc>
          <w:tcPr>
            <w:tcW w:type="dxa" w:w="1410"/>
          </w:tcPr>
          <w:p>
            <w:pPr>
              <w:keepNext w:val="0"/>
              <w:spacing w:after="20"/>
            </w:pPr>
            <w:r>
              <w:rPr>
                <w:sz w:val="16"/>
              </w:rPr>
              <w:t>30%</w:t>
            </w:r>
          </w:p>
        </w:tc>
        <w:tc>
          <w:tcPr>
            <w:tcW w:type="dxa" w:w="1410"/>
          </w:tcPr>
          <w:p>
            <w:pPr>
              <w:keepNext w:val="0"/>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val="0"/>
              <w:spacing w:after="20"/>
            </w:pPr>
            <w:r>
              <w:rPr>
                <w:sz w:val="16"/>
              </w:rPr>
              <w:t>20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20%</w:t>
            </w:r>
          </w:p>
        </w:tc>
        <w:tc>
          <w:tcPr>
            <w:tcW w:type="dxa" w:w="1410"/>
          </w:tcPr>
          <w:p>
            <w:pPr>
              <w:keepNext w:val="0"/>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4.7%</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2%</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val="0"/>
              <w:spacing w:after="20"/>
            </w:pPr>
            <w:r>
              <w:rPr>
                <w:sz w:val="16"/>
              </w:rPr>
              <w:t>150</w:t>
            </w:r>
          </w:p>
        </w:tc>
        <w:tc>
          <w:tcPr>
            <w:tcW w:type="dxa" w:w="1075"/>
          </w:tcPr>
          <w:p>
            <w:pPr>
              <w:keepNext w:val="0"/>
              <w:spacing w:after="20"/>
            </w:pPr>
            <w:r>
              <w:rPr>
                <w:sz w:val="16"/>
              </w:rPr>
              <w:t>0.7%</w:t>
            </w:r>
          </w:p>
        </w:tc>
        <w:tc>
          <w:tcPr>
            <w:tcW w:type="dxa" w:w="842"/>
          </w:tcPr>
          <w:p>
            <w:pPr>
              <w:keepNext w:val="0"/>
              <w:spacing w:after="20"/>
            </w:pPr>
            <w:r>
              <w:rPr>
                <w:sz w:val="16"/>
              </w:rPr>
              <w:t>–</w:t>
            </w:r>
          </w:p>
        </w:tc>
        <w:tc>
          <w:tcPr>
            <w:tcW w:type="dxa" w:w="1410"/>
          </w:tcPr>
          <w:p>
            <w:pPr>
              <w:keepNext w:val="0"/>
              <w:spacing w:after="20"/>
            </w:pPr>
            <w:r>
              <w:rPr>
                <w:sz w:val="16"/>
              </w:rPr>
              <w:t>5.3%</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val="0"/>
              <w:spacing w:after="20"/>
            </w:pPr>
            <w:r>
              <w:rPr>
                <w:sz w:val="16"/>
              </w:rPr>
              <w:t>100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Chosen after seeing the auction cartel, this statistic counts the rounds in which both agents of a pair leave their replays. Let D</w:t>
      </w:r>
      <w:r>
        <w:rPr>
          <w:sz w:val="20"/>
          <w:vertAlign w:val="subscript"/>
        </w:rPr>
        <w:t>i,t</w:t>
      </w:r>
      <w:r>
        <w:rPr>
          <w:sz w:val="20"/>
        </w:rPr>
        <w:t xml:space="preserve"> = 1 when agent i's logged action in round t differs from both of its replays; a pair's statistic is the number of rounds in which both depart, the episode statistic its maximum over pairs, and the null redraws the logged position in every pool (exact per round by Proposition 1, B = 999); a per-agent version counts one agent's departures with a Bonferroni correction. In the cartel, collusion shows as all followers leaving their replays in the same hours rather than as dependence in the joint law (Table A6b); the statistic is post hoc there and is tested on a fresh series in C.11. Applied post hoc to every existing game (Tables A7b and A8),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val="0"/>
              <w:spacing w:after="20"/>
            </w:pPr>
            <w:r>
              <w:rPr>
                <w:sz w:val="16"/>
              </w:rPr>
              <w:t>150</w:t>
            </w:r>
          </w:p>
        </w:tc>
        <w:tc>
          <w:tcPr>
            <w:tcW w:type="dxa" w:w="1292"/>
          </w:tcPr>
          <w:p>
            <w:pPr>
              <w:keepNext w:val="0"/>
              <w:spacing w:after="20"/>
            </w:pPr>
            <w:r>
              <w:rPr>
                <w:sz w:val="16"/>
              </w:rPr>
              <w:t>2.7%</w:t>
            </w:r>
          </w:p>
        </w:tc>
        <w:tc>
          <w:tcPr>
            <w:tcW w:type="dxa" w:w="1011"/>
          </w:tcPr>
          <w:p>
            <w:pPr>
              <w:keepNext w:val="0"/>
              <w:spacing w:after="20"/>
            </w:pPr>
            <w:r>
              <w:rPr>
                <w:sz w:val="16"/>
              </w:rPr>
              <w:t>–</w:t>
            </w:r>
          </w:p>
        </w:tc>
        <w:tc>
          <w:tcPr>
            <w:tcW w:type="dxa" w:w="1561"/>
          </w:tcPr>
          <w:p>
            <w:pPr>
              <w:keepNext w:val="0"/>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val="0"/>
              <w:spacing w:after="20"/>
            </w:pPr>
            <w:r>
              <w:rPr>
                <w:sz w:val="16"/>
              </w:rPr>
              <w:t>60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val="0"/>
              <w:spacing w:after="20"/>
            </w:pPr>
            <w:r>
              <w:rPr>
                <w:sz w:val="16"/>
              </w:rPr>
              <w:t>30</w:t>
            </w:r>
          </w:p>
        </w:tc>
        <w:tc>
          <w:tcPr>
            <w:tcW w:type="dxa" w:w="1292"/>
          </w:tcPr>
          <w:p>
            <w:pPr>
              <w:keepNext w:val="0"/>
              <w:spacing w:after="20"/>
            </w:pPr>
            <w:r>
              <w:rPr>
                <w:sz w:val="16"/>
              </w:rPr>
              <w:t>6.7%</w:t>
            </w:r>
          </w:p>
        </w:tc>
        <w:tc>
          <w:tcPr>
            <w:tcW w:type="dxa" w:w="1011"/>
          </w:tcPr>
          <w:p>
            <w:pPr>
              <w:keepNext w:val="0"/>
              <w:spacing w:after="20"/>
            </w:pPr>
            <w:r>
              <w:rPr>
                <w:sz w:val="16"/>
              </w:rPr>
              <w:t>0%</w:t>
            </w:r>
          </w:p>
        </w:tc>
        <w:tc>
          <w:tcPr>
            <w:tcW w:type="dxa" w:w="1561"/>
          </w:tcPr>
          <w:p>
            <w:pPr>
              <w:keepNext w:val="0"/>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2.5%</w:t>
            </w:r>
          </w:p>
        </w:tc>
        <w:tc>
          <w:tcPr>
            <w:tcW w:type="dxa" w:w="1561"/>
          </w:tcPr>
          <w:p>
            <w:pPr>
              <w:keepNext w:val="0"/>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val="0"/>
              <w:spacing w:after="20"/>
            </w:pPr>
            <w:r>
              <w:rPr>
                <w:sz w:val="16"/>
              </w:rPr>
              <w:t>100</w:t>
            </w:r>
          </w:p>
        </w:tc>
        <w:tc>
          <w:tcPr>
            <w:tcW w:type="dxa" w:w="1292"/>
          </w:tcPr>
          <w:p>
            <w:pPr>
              <w:keepNext w:val="0"/>
              <w:spacing w:after="20"/>
            </w:pPr>
            <w:r>
              <w:rPr>
                <w:sz w:val="16"/>
              </w:rPr>
              <w:t>0%</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val="0"/>
              <w:spacing w:after="20"/>
            </w:pPr>
            <w:r>
              <w:rPr>
                <w:sz w:val="16"/>
              </w:rPr>
              <w:t>60</w:t>
            </w:r>
          </w:p>
        </w:tc>
        <w:tc>
          <w:tcPr>
            <w:tcW w:type="dxa" w:w="1292"/>
          </w:tcPr>
          <w:p>
            <w:pPr>
              <w:keepNext w:val="0"/>
              <w:spacing w:after="20"/>
            </w:pPr>
            <w:r>
              <w:rPr>
                <w:sz w:val="16"/>
              </w:rPr>
              <w:t>1.7%</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val="0"/>
              <w:spacing w:after="20"/>
            </w:pPr>
            <w:r>
              <w:rPr>
                <w:sz w:val="16"/>
              </w:rPr>
              <w:t>40</w:t>
            </w:r>
          </w:p>
        </w:tc>
        <w:tc>
          <w:tcPr>
            <w:tcW w:type="dxa" w:w="1292"/>
          </w:tcPr>
          <w:p>
            <w:pPr>
              <w:keepNext w:val="0"/>
              <w:spacing w:after="20"/>
            </w:pPr>
            <w:r>
              <w:rPr>
                <w:sz w:val="16"/>
              </w:rPr>
              <w:t>45%</w:t>
            </w:r>
          </w:p>
        </w:tc>
        <w:tc>
          <w:tcPr>
            <w:tcW w:type="dxa" w:w="1011"/>
          </w:tcPr>
          <w:p>
            <w:pPr>
              <w:keepNext w:val="0"/>
              <w:spacing w:after="20"/>
            </w:pPr>
            <w:r>
              <w:rPr>
                <w:sz w:val="16"/>
              </w:rPr>
              <w:t>42.5%</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val="0"/>
              <w:spacing w:after="20"/>
            </w:pPr>
            <w:r>
              <w:rPr>
                <w:sz w:val="16"/>
              </w:rPr>
              <w:t>40</w:t>
            </w:r>
          </w:p>
        </w:tc>
        <w:tc>
          <w:tcPr>
            <w:tcW w:type="dxa" w:w="1292"/>
          </w:tcPr>
          <w:p>
            <w:pPr>
              <w:keepNext w:val="0"/>
              <w:spacing w:after="20"/>
            </w:pPr>
            <w:r>
              <w:rPr>
                <w:sz w:val="16"/>
              </w:rPr>
              <w:t>10%</w:t>
            </w:r>
          </w:p>
        </w:tc>
        <w:tc>
          <w:tcPr>
            <w:tcW w:type="dxa" w:w="1011"/>
          </w:tcPr>
          <w:p>
            <w:pPr>
              <w:keepNext w:val="0"/>
              <w:spacing w:after="20"/>
            </w:pPr>
            <w:r>
              <w:rPr>
                <w:sz w:val="16"/>
              </w:rPr>
              <w:t>2.5%</w:t>
            </w:r>
          </w:p>
        </w:tc>
        <w:tc>
          <w:tcPr>
            <w:tcW w:type="dxa" w:w="1561"/>
          </w:tcPr>
          <w:p>
            <w:pPr>
              <w:keepNext w:val="0"/>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val="0"/>
              <w:spacing w:after="20"/>
            </w:pPr>
            <w:r>
              <w:rPr>
                <w:sz w:val="16"/>
              </w:rPr>
              <w:t>20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val="0"/>
              <w:spacing w:after="20"/>
            </w:pPr>
            <w:r>
              <w:rPr>
                <w:sz w:val="16"/>
              </w:rPr>
              <w:t>20</w:t>
            </w:r>
          </w:p>
        </w:tc>
        <w:tc>
          <w:tcPr>
            <w:tcW w:type="dxa" w:w="1292"/>
          </w:tcPr>
          <w:p>
            <w:pPr>
              <w:keepNext w:val="0"/>
              <w:spacing w:after="20"/>
            </w:pPr>
            <w:r>
              <w:rPr>
                <w:sz w:val="16"/>
              </w:rPr>
              <w:t>10%</w:t>
            </w:r>
          </w:p>
        </w:tc>
        <w:tc>
          <w:tcPr>
            <w:tcW w:type="dxa" w:w="1011"/>
          </w:tcPr>
          <w:p>
            <w:pPr>
              <w:keepNext w:val="0"/>
              <w:spacing w:after="20"/>
            </w:pPr>
            <w:r>
              <w:rPr>
                <w:sz w:val="16"/>
              </w:rPr>
              <w:t>5%</w:t>
            </w:r>
          </w:p>
        </w:tc>
        <w:tc>
          <w:tcPr>
            <w:tcW w:type="dxa" w:w="1561"/>
          </w:tcPr>
          <w:p>
            <w:pPr>
              <w:keepNext w:val="0"/>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val="0"/>
              <w:spacing w:after="20"/>
            </w:pPr>
            <w:r>
              <w:rPr>
                <w:sz w:val="16"/>
              </w:rPr>
              <w:t>40</w:t>
            </w:r>
          </w:p>
        </w:tc>
        <w:tc>
          <w:tcPr>
            <w:tcW w:type="dxa" w:w="1292"/>
          </w:tcPr>
          <w:p>
            <w:pPr>
              <w:keepNext w:val="0"/>
              <w:spacing w:after="20"/>
            </w:pPr>
            <w:r>
              <w:rPr>
                <w:sz w:val="16"/>
              </w:rPr>
              <w:t>52.5%</w:t>
            </w:r>
          </w:p>
        </w:tc>
        <w:tc>
          <w:tcPr>
            <w:tcW w:type="dxa" w:w="1011"/>
          </w:tcPr>
          <w:p>
            <w:pPr>
              <w:keepNext w:val="0"/>
              <w:spacing w:after="20"/>
            </w:pPr>
            <w:r>
              <w:rPr>
                <w:sz w:val="16"/>
              </w:rPr>
              <w:t>50%</w:t>
            </w:r>
          </w:p>
        </w:tc>
        <w:tc>
          <w:tcPr>
            <w:tcW w:type="dxa" w:w="1561"/>
          </w:tcPr>
          <w:p>
            <w:pPr>
              <w:keepNext w:val="0"/>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every run is reported whatever its outcome. The plan, timestamped before any of these data, fixed each run's hypotheses, sample sizes and numerical predictions, and pre-registered the co-departure test of C.10 as a secondary statistic, predicting false alarms of at most 10% and power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rPr>
        <w:t>Deviations from the plan.</w:t>
      </w:r>
      <w:r>
        <w:rPr>
          <w:sz w:val="20"/>
        </w:rPr>
        <w:t xml:space="preserve"> Table A9 lists every deviation and what was done.</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val="0"/>
              <w:spacing w:after="20"/>
            </w:pPr>
            <w:r>
              <w:rPr>
                <w:sz w:val="16"/>
              </w:rPr>
              <w:t>Models that failed the pilot's format or availability checks</w:t>
            </w:r>
          </w:p>
        </w:tc>
        <w:tc>
          <w:tcPr>
            <w:tcW w:type="dxa" w:w="2643"/>
          </w:tcPr>
          <w:p>
            <w:pPr>
              <w:keepNext w:val="0"/>
              <w:spacing w:after="20"/>
            </w:pPr>
            <w:r>
              <w:rPr>
                <w:sz w:val="16"/>
              </w:rPr>
              <w:t>dropped before the main samples</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