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for multi-agent LLM systems test whether agents' actions depend on each other. But agents built on one model share priors and act alike without communicating, so these audits accuse honest fleets: at the 5% level, mutual information flags 69.3% of games among four honest copies of Claude Haiku. Our replay test re-queries each deployed agent every round on the same input with the suspected channel removed, and flags a pair only if its actions depend on each other more than its replays do. The shared model thereby becomes part of the null hypothesis. If replayed calls are served like the originals, its error rate is exact within each round, and a sequential version stays valid however long the audit runs. On 550 honest LLM games its fixed-horizon version flags 4.2%. In a procurement auction where two suppliers follow a common pricing vendor, it names the true pair in 92.5% of games when the vendor pools their confidential costs and flags 1.7% when the vendor uses only public data. In a pre-registered replication on fresh games, the sequential version named a pair instructed to coordinate in 18/20 games, against 11/20 for the fixed-length test, with 0/40 false alarms on honest games. The test detects what the current channel adds to behaviour; coordination already written into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(§5.5).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text-based mutual information against honest replays of whole runs, but needs payload labels and flags runs rather than pairs. Xu et al. [3] show that two deployments of one model carry correlated bid residuals, and note that dependence cannot tell a conspiracy from one firm running several agents.</w:t>
      </w:r>
    </w:p>
    <w:p>
      <w:pPr>
        <w:spacing w:after="60" w:before="0"/>
        <w:jc w:val="both"/>
      </w:pPr>
      <w:r>
        <w:rPr>
          <w:b/>
          <w:sz w:val="20"/>
        </w:rPr>
        <w:t>Auditing behaviour, policies and reasoning.</w:t>
      </w:r>
      <w:r>
        <w:rPr>
          <w:sz w:val="20"/>
        </w:rPr>
        <w:t xml:space="preserve"> Colosseum [8] measures a known coalition's advantage; Eschenbaum and Meylahn [9] query frozen pricing policies and read collusion off strategy graphs; Kaur et al. [10] measure counterfactual influence with white-box records; Hartline et al. [11] audit one seller's regret. Chain-of-thought monitoring misses collusion in pricing agents [12], per-action defences did not stop colluding agents [13], and stronger monitors need a cross-agent view [14] or activations [15].</w:t>
      </w:r>
    </w:p>
    <w:p>
      <w:pPr>
        <w:spacing w:after="60" w:before="0"/>
        <w:jc w:val="both"/>
      </w:pPr>
      <w:r>
        <w:rPr>
          <w:b/>
          <w:sz w:val="20"/>
        </w:rPr>
        <w:t>Definition used.</w:t>
      </w:r>
      <w:r>
        <w:rPr>
          <w:sz w:val="20"/>
        </w:rPr>
        <w:t xml:space="preserve"> Of the 139 definitions in the organisers' survey [16], we follow those that require communication [15],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 Coordination fixed before deployment, such as a shared team instruction, may itself be an agreement but travels through no audited channel, and signals hidden inside public actions reach the replays too; the test sees neither.</w:t>
      </w:r>
    </w:p>
    <w:p>
      <w:pPr>
        <w:spacing w:after="60" w:before="0"/>
        <w:jc w:val="both"/>
      </w:pPr>
      <w:r>
        <w:rPr>
          <w:b/>
          <w:sz w:val="20"/>
        </w:rPr>
        <w:t>The gap.</w:t>
      </w:r>
      <w:r>
        <w:rPr>
          <w:sz w:val="20"/>
        </w:rPr>
        <w:t xml:space="preserve"> We know of no pairwise audit that removes the shared-model confound and is exact within each round. Audit the Whisper [2] replays whole runs; we replay each agent inside every round on its own logged view.</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 left empty.</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that agents share randomness the log does not record, or that A1 failed. It does not show intent, and a non-rejection does not certify that there was no collusion.</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ℱ</m:t>
            </m:r>
          </m:e>
          <m:sub>
            <m:r>
              <m:t xml:space="preserve">t</m:t>
            </m:r>
            <m:r>
              <m:rPr>
                <m:sty m:val="p"/>
              </m:rPr>
              <m:t xml:space="preserve">-</m:t>
            </m:r>
            <m:r>
              <m:t xml:space="preserve">1</m:t>
            </m:r>
          </m:sub>
        </m:sSub>
      </m:oMath>
      <w:r>
        <w:rPr>
          <w:sz w:val="20"/>
        </w:rPr>
        <w:t xml:space="preserve"> contain all views, actions and replays before round </w:t>
      </w:r>
      <m:oMath>
        <m:r>
          <m:t xml:space="preserve">t</m:t>
        </m:r>
      </m:oMath>
      <w:r>
        <w:rPr>
          <w:sz w:val="20"/>
        </w:rPr>
        <w:t xml:space="preserve">. Under </w:t>
      </w:r>
      <m:oMath>
        <m:sSub>
          <m:e>
            <m:r>
              <m:t xml:space="preserve">H</m:t>
            </m:r>
          </m:e>
          <m:sub>
            <m:r>
              <m:t xml:space="preserve">0</m:t>
            </m:r>
          </m:sub>
        </m:sSub>
      </m:oMath>
      <w:r>
        <w:rPr>
          <w:sz w:val="20"/>
        </w:rPr>
        <w:t xml:space="preserve"> and A1–A3, conditional on </w:t>
      </w:r>
      <m:oMath>
        <m:sSub>
          <m:e>
            <m:r>
              <m:rPr>
                <m:sty m:val="p"/>
              </m:rPr>
              <m:t xml:space="preserve">ℱ</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[17–19]. Independence across agents follows from independent draws within a round. ∎</w:t>
      </w:r>
    </w:p>
    <w:p>
      <w:pPr>
        <w:spacing w:after="60" w:before="0"/>
        <w:jc w:val="both"/>
      </w:pPr>
      <w:r>
        <w:rPr>
          <w:sz w:val="20"/>
        </w:rPr>
        <w:t>Both tests compare logged moves with moves redrawn from the pools; with discrete statistics the p-values are conservative rather than exactly uniform.</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§5.5).</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(Krichevsky–Trofimov counts mixed half and half with the uniform distribution).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20"/>
        </w:rPr>
        <w:t>.</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sSub>
          <m:e>
            <m:r>
              <m:t xml:space="preserve">E</m:t>
            </m:r>
          </m:e>
          <m:sub>
            <m:r>
              <m:t xml:space="preserve">T</m:t>
            </m:r>
          </m:sub>
        </m:sSub>
      </m:oMath>
      <w:r>
        <w:rPr>
          <w:sz w:val="20"/>
        </w:rPr>
        <w:t xml:space="preserve"> is a nonnegative martingale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w:t>
      </w:r>
    </w:p>
    <w:p>
      <w:pPr>
        <w:spacing w:after="60" w:before="0"/>
        <w:jc w:val="both"/>
      </w:pPr>
      <w:r>
        <w:rPr>
          <w:i/>
          <w:sz w:val="20"/>
        </w:rPr>
        <w:t>Proof sketch.</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[20–24]. ∎</w:t>
      </w:r>
    </w:p>
    <w:p>
      <w:pPr>
        <w:spacing w:after="60" w:before="0"/>
        <w:jc w:val="both"/>
      </w:pPr>
      <w:r>
        <w:rPr>
          <w:sz w:val="20"/>
        </w:rPr>
        <w:t xml:space="preserve">An alarm means that the pair's logged joint moves are unlikely under independent draws from their replay pools, or it is one of the at most </w:t>
      </w:r>
      <m:oMath>
        <m:r>
          <m:t xml:space="preserve">α</m:t>
        </m:r>
      </m:oMath>
      <w:r>
        <w:rPr>
          <w:sz w:val="20"/>
        </w:rPr>
        <w:t xml:space="preserve"> false alarms; the pair with the most evidence at the alarm is named as a candidate.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b/>
                <w:sz w:val="17"/>
              </w:rPr>
              <w:t>Output:</w:t>
            </w:r>
            <w:r>
              <w:rPr>
                <w:sz w:val="17"/>
              </w:rPr>
              <w:t xml:space="preserve"> alarm round (or none), </w:t>
            </w:r>
            <m:oMath>
              <m:r>
                <m:t xml:space="preserve">p</m:t>
              </m:r>
            </m:oMath>
            <w:r>
              <w:rPr>
                <w:sz w:val="17"/>
              </w:rPr>
              <w:t>-value and candidate pair for investigation.</w:t>
            </w:r>
          </w:p>
        </w:tc>
      </w:tr>
    </w:tbl>
    <w:p>
      <w:pPr>
        <w:spacing w:after="80" w:before="0"/>
      </w:pPr>
    </w:p>
    <w:p>
      <w:pPr>
        <w:spacing w:after="60" w:before="0"/>
        <w:jc w:val="both"/>
      </w:pPr>
      <w:r>
        <w:rPr>
          <w:sz w:val="20"/>
        </w:rPr>
        <w:t xml:space="preserve">With </w:t>
      </w:r>
      <m:oMath>
        <m:r>
          <m:t xml:space="preserve">k</m:t>
        </m:r>
        <m:r>
          <m:rPr>
            <m:sty m:val="p"/>
          </m:rPr>
          <m:t xml:space="preserve">=</m:t>
        </m:r>
        <m:r>
          <m:t xml:space="preserve">2</m:t>
        </m:r>
      </m:oMath>
      <w:r>
        <w:rPr>
          <w:sz w:val="20"/>
        </w:rPr>
        <w:t xml:space="preserve"> the audit triples the number of model calls: about $0.015 for a 30-round audit of four agents at DeepSeek prices.</w:t>
      </w: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spacing w:after="6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serve for validation. All run at temperature 1 with reasoning turned off where the model allows it.</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w:t>
      </w:r>
      <m:oMath>
        <m:r>
          <m:rPr>
            <m:sty m:val="p"/>
          </m:rPr>
          <m:t xml:space="preserve">Γ</m:t>
        </m:r>
        <m:r>
          <m:t xml:space="preserve">≥</m:t>
        </m:r>
        <m:r>
          <m:t xml:space="preserve">0.05</m:t>
        </m:r>
      </m:oMath>
      <w:r>
        <w:rPr>
          <w:sz w:val="20"/>
        </w:rPr>
        <w:t xml:space="preserve"> bits in both directions for exactly one pair);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Both are far above the 5% that a valid test allows. Bonjour's fixed threshold also absorbs the small-sample bias of mutual information and fires in every condition; the shuffle-calibrated test falls to 20% when the agents run on two different models. In the published runs where five GPT-4.1 sellers could not talk, mutual information flags 8 of 10. In our auction, where honest bids barely vary, no detector flagged more than 2% of honest games.</w:t>
      </w:r>
    </w:p>
    <w:p>
      <w:pPr>
        <w:keepNext/>
        <w:spacing w:after="40" w:before="0"/>
        <w:jc w:val="center"/>
      </w:pPr>
      <w:r>
        <w:drawing>
          <wp:inline>
            <wp:extent cx="5760720" cy="182880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828800"/>
                    </a:xfrm>
                    <a:prstGeom prst="rect"/>
                  </pic:spPr>
                </pic:pic>
              </a:graphicData>
            </a:graphic>
          </wp:inline>
        </w:drawing>
      </w:r>
    </w:p>
    <w:p>
      <w:pPr>
        <w:spacing w:after="120" w:before="0"/>
        <w:jc w:val="both"/>
      </w:pPr>
      <w:r>
        <w:rPr>
          <w:b/>
          <w:color w:val="404040"/>
          <w:sz w:val="17"/>
        </w:rPr>
        <w:t>Figure 2. Standard tests accuse honest agents; the replay test does not, and it still names instructed colluders.</w:t>
      </w:r>
      <w:r>
        <w:rPr>
          <w:color w:val="404040"/>
          <w:sz w:val="17"/>
        </w:rPr>
        <w:t xml:space="preserve"> (a) Honest games in which each detector accuses a pair; dashed line: 5% level. The replay test cannot run on Agrawal et al.'s logs, whose policies cannot be queried again.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the replay test flags 4.2% at the 5% level</w:t>
      </w:r>
      <w:r>
        <w:rPr>
          <w:sz w:val="20"/>
        </w:rPr>
        <w:t xml:space="preserve"> (95% CI 3–6%; a game is flagged if the test over all its pairs rejects). That includes 4% of the four-Haiku games that mutual information accuses most. Its p-values on honest games are close to uniform. In the auction it flags 1% of honest games, and on the three validation models 3/40, 4/40 and 1/40 (Appendix C). The fixed-horizon test can over-reject when honest agents repeat their own moves (§5.5); under A1 the sequential test keeps its level (Proposition 2).</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same line separates two recent US cases: hotels that independently licensed common pricing software (</w:t>
      </w:r>
      <w:r>
        <w:rPr>
          <w:i/>
          <w:sz w:val="20"/>
        </w:rPr>
        <w:t>Gibson v. Cendyn</w:t>
      </w:r>
      <w:r>
        <w:rPr>
          <w:sz w:val="20"/>
        </w:rPr>
        <w:t>, 9th Cir. 2025, dismissal affirmed) and a vendor alleged to pool rivals' non-public data (</w:t>
      </w:r>
      <w:r>
        <w:rPr>
          <w:i/>
          <w:sz w:val="20"/>
        </w:rPr>
        <w:t>Duffy v. Yardi</w:t>
      </w:r>
      <w:r>
        <w:rPr>
          <w:sz w:val="20"/>
        </w:rPr>
        <w:t>, W.D. Wash. 2024, motion to dismiss denied).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more Haiku pairs only by accusing honest groups as well: at a matched false-alarm rate of 5%, the replay test detects 42% of Haiku pairs and mutual information 0% (Fig. 3).</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4). Its guarantee costs power elsewhere: it names the pooled-data vendor pair in 45% of games, against 92.5% for the fixed-horizon test, and 0% of DeepSeek pairs (Appendix C).</w:t>
      </w:r>
    </w:p>
    <w:p>
      <w:pPr>
        <w:keepNext/>
        <w:spacing w:after="40" w:before="0"/>
        <w:jc w:val="center"/>
      </w:pPr>
      <w:r>
        <w:drawing>
          <wp:inline>
            <wp:extent cx="5760720" cy="1874519"/>
            <wp:docPr id="3" name="Picture 3"/>
            <wp:cNvGraphicFramePr>
              <a:graphicFrameLocks noChangeAspect="1"/>
            </wp:cNvGraphicFramePr>
            <a:graphic>
              <a:graphicData uri="http://schemas.openxmlformats.org/drawingml/2006/picture">
                <pic:pic>
                  <pic:nvPicPr>
                    <pic:cNvPr id="0" name="p_fig3_roc.png"/>
                    <pic:cNvPicPr/>
                  </pic:nvPicPr>
                  <pic:blipFill>
                    <a:blip r:embed="rId10"/>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3.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pStyle w:val="Heading3"/>
        <w:keepNext/>
        <w:spacing w:before="100" w:after="60"/>
      </w:pPr>
      <w:r>
        <w:rPr/>
        <w:t>5.4 LLM judges rank pairs but do not control their error rate</w:t>
      </w:r>
    </w:p>
    <w:p>
      <w:pPr>
        <w:spacing w:after="60" w:before="0"/>
        <w:jc w:val="both"/>
      </w:pPr>
      <w:r>
        <w:rPr>
          <w:b/>
          <w:sz w:val="20"/>
        </w:rPr>
        <w:t>A judge reading the actions ranks Haiku pairs about as well as the replay test, but nothing fixes how often it accuses honest agents.</w:t>
      </w:r>
      <w:r>
        <w:rPr>
          <w:sz w:val="20"/>
        </w:rPr>
        <w:t xml:space="preserve"> Contrary to our pre-registered prediction, its AUROC for Haiku is 0.85, against 0.77 for the replay test, and both are near chance for DeepSeek. Given the private messages, the judge also accuses 65% of Haiku groups whose collusive plans were never delivered, where the replay test flags 7.5%.</w:t>
      </w:r>
    </w:p>
    <w:p>
      <w:pPr>
        <w:keepNext/>
        <w:spacing w:after="40" w:before="0"/>
        <w:jc w:val="center"/>
      </w:pPr>
      <w:r>
        <w:drawing>
          <wp:inline>
            <wp:extent cx="5760720" cy="1600200"/>
            <wp:docPr id="4" name="Picture 4"/>
            <wp:cNvGraphicFramePr>
              <a:graphicFrameLocks noChangeAspect="1"/>
            </wp:cNvGraphicFramePr>
            <a:graphic>
              <a:graphicData uri="http://schemas.openxmlformats.org/drawingml/2006/picture">
                <pic:pic>
                  <pic:nvPicPr>
                    <pic:cNvPr id="0" name="p_fig4_eprocess.png"/>
                    <pic:cNvPicPr/>
                  </pic:nvPicPr>
                  <pic:blipFill>
                    <a:blip r:embed="rId11"/>
                    <a:stretch>
                      <a:fillRect/>
                    </a:stretch>
                  </pic:blipFill>
                  <pic:spPr>
                    <a:xfrm>
                      <a:off x="0" y="0"/>
                      <a:ext cx="5760720" cy="1600200"/>
                    </a:xfrm>
                    <a:prstGeom prst="rect"/>
                  </pic:spPr>
                </pic:pic>
              </a:graphicData>
            </a:graphic>
          </wp:inline>
        </w:drawing>
      </w:r>
    </w:p>
    <w:p>
      <w:pPr>
        <w:spacing w:after="120" w:before="0"/>
        <w:jc w:val="both"/>
      </w:pPr>
      <w:r>
        <w:rPr>
          <w:b/>
          <w:color w:val="404040"/>
          <w:sz w:val="17"/>
        </w:rPr>
        <w:t>Figure 4.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under the null this happens with probability at most 5% at any time (Proposition 2).</w:t>
      </w:r>
    </w:p>
    <w:p>
      <w:pPr>
        <w:pStyle w:val="Heading3"/>
        <w:keepNext/>
        <w:spacing w:before="100" w:after="60"/>
      </w:pPr>
      <w:r>
        <w:rPr/>
        <w:t>5.5 What the test cannot see</w:t>
      </w:r>
    </w:p>
    <w:p>
      <w:pPr>
        <w:spacing w:after="6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[9].</w:t>
      </w:r>
    </w:p>
    <w:p>
      <w:pPr>
        <w:tabs>
          <w:tab w:pos="403" w:val="left"/>
        </w:tabs>
        <w:spacing w:after="40" w:before="0"/>
        <w:ind w:left="403" w:hanging="288"/>
      </w:pPr>
      <w:r>
        <w:rPr>
          <w:sz w:val="20"/>
        </w:rPr>
        <w:t>•</w:t>
        <w:tab/>
      </w:r>
      <w:r>
        <w:rPr>
          <w:i/>
          <w:sz w:val="20"/>
        </w:rPr>
        <w:t>Agreements stored in memory.</w:t>
      </w:r>
      <w:r>
        <w:rPr>
          <w:sz w:val="20"/>
        </w:rPr>
        <w:t xml:space="preserve"> In a five-game pilot of the organisers' double auction, sellers told to follow a leader's price floor raised prices, and their replays, which keep each seller's memory, did the same (mean asks 90.26 logged, 90.21 replayed). A follower that reads "floor 91" in hour 3 notes it, and in hour 4 its replay, without the inbox, still reads the note and asks 91; replays lag only when the floor changes.</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tabs>
          <w:tab w:pos="403" w:val="left"/>
        </w:tabs>
        <w:spacing w:after="40" w:before="0"/>
        <w:ind w:left="403" w:hanging="288"/>
      </w:pPr>
      <w:r>
        <w:rPr>
          <w:sz w:val="20"/>
        </w:rPr>
        <w:t>•</w:t>
        <w:tab/>
      </w:r>
      <w:r>
        <w:rPr>
          <w:i/>
          <w:sz w:val="20"/>
        </w:rPr>
        <w:t>Coalitions of three.</w:t>
      </w:r>
      <w:r>
        <w:rPr>
          <w:sz w:val="20"/>
        </w:rPr>
        <w:t xml:space="preserve"> In a simulated coalition of three, net influence cancels and flags 16–20% of logs; the sequential test flags 100%.</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can run the test before deployment and in periodic audits if they log each agent's prompt and state at every step. A flag then points to the audited channel rather than to a shared vendor, so same-model fleets stop filling escalation lists with false accusations.</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Agreements held in instructions or memory, and channels that barely change actions, largely escape it (§5.5).</w:t>
      </w:r>
    </w:p>
    <w:p>
      <w:pPr>
        <w:tabs>
          <w:tab w:pos="432" w:val="left"/>
        </w:tabs>
        <w:spacing w:after="40" w:before="0"/>
        <w:ind w:left="432" w:hanging="432"/>
      </w:pPr>
      <w:r>
        <w:rPr>
          <w:sz w:val="20"/>
        </w:rPr>
        <w:t>4.</w:t>
        <w:tab/>
      </w:r>
      <w:r>
        <w:rPr>
          <w:i/>
          <w:sz w:val="20"/>
        </w:rPr>
        <w:t>Evidence.</w:t>
      </w:r>
      <w:r>
        <w:rPr>
          <w:sz w:val="20"/>
        </w:rPr>
        <w:t xml:space="preserve"> Colluders were instructed, and detection rates need not transfer to emergent or test-aware collusion (Appendix C); we used two main model families, short games and stylised auctions.</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keeps detectable the channels that leave a joint signal, and in its sequential form stays valid under feedback. Agreements held in instructions or memory call for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9.</w:t>
        <w:tab/>
      </w:r>
      <w:r>
        <w:rPr>
          <w:sz w:val="20"/>
        </w:rPr>
        <w:t>N. Eschenbaum, J. Meylahn. Auditing algorithmic collusion from strategy graphs. arXiv:2608.07098, 2026.</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12.</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13.</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14.</w:t>
        <w:tab/>
      </w:r>
      <w:r>
        <w:rPr>
          <w:sz w:val="20"/>
        </w:rPr>
        <w:t>J. Kemeklis, N. Vemuri. Omission attacks: When doing nothing is the attack. Apart AI Control Hackathon, 2026.</w:t>
      </w:r>
    </w:p>
    <w:p>
      <w:pPr>
        <w:tabs>
          <w:tab w:pos="432" w:val="left"/>
        </w:tabs>
        <w:spacing w:after="40" w:before="0"/>
        <w:ind w:left="432" w:hanging="432"/>
      </w:pPr>
      <w:r>
        <w:rPr>
          <w:sz w:val="20"/>
        </w:rPr>
        <w:t>15.</w:t>
        <w:tab/>
      </w:r>
      <w:r>
        <w:rPr>
          <w:sz w:val="20"/>
        </w:rPr>
        <w:t>A. Rose et al. Detecting multi-agent collusion through multi-agent interpretability. arXiv:2604.01151, 2026.</w:t>
      </w:r>
    </w:p>
    <w:p>
      <w:pPr>
        <w:tabs>
          <w:tab w:pos="432" w:val="left"/>
        </w:tabs>
        <w:spacing w:after="40" w:before="0"/>
        <w:ind w:left="432" w:hanging="432"/>
      </w:pPr>
      <w:r>
        <w:rPr>
          <w:sz w:val="20"/>
        </w:rPr>
        <w:t>16.</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17.</w:t>
        <w:tab/>
      </w:r>
      <w:r>
        <w:rPr>
          <w:sz w:val="20"/>
        </w:rPr>
        <w:t>J. Hemerik, J. Goeman. Exact testing with random permutations. TEST 27(4):811–825, 2018.</w:t>
      </w:r>
    </w:p>
    <w:p>
      <w:pPr>
        <w:tabs>
          <w:tab w:pos="432" w:val="left"/>
        </w:tabs>
        <w:spacing w:after="40" w:before="0"/>
        <w:ind w:left="432" w:hanging="432"/>
      </w:pPr>
      <w:r>
        <w:rPr>
          <w:sz w:val="20"/>
        </w:rPr>
        <w:t>18.</w:t>
        <w:tab/>
      </w:r>
      <w:r>
        <w:rPr>
          <w:sz w:val="20"/>
        </w:rPr>
        <w:t>E. Lehmann, J. Romano. Testing Statistical Hypotheses, 3rd ed., Springer, 2005, §15.2.</w:t>
      </w:r>
    </w:p>
    <w:p>
      <w:pPr>
        <w:tabs>
          <w:tab w:pos="432" w:val="left"/>
        </w:tabs>
        <w:spacing w:after="40" w:before="0"/>
        <w:ind w:left="432" w:hanging="432"/>
      </w:pPr>
      <w:r>
        <w:rPr>
          <w:sz w:val="20"/>
        </w:rPr>
        <w:t>19.</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20.</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21.</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22.</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23.</w:t>
        <w:tab/>
      </w:r>
      <w:r>
        <w:rPr>
          <w:sz w:val="20"/>
        </w:rPr>
        <w:t>G. Shafer. Testing by betting: A strategy for statistical and scientific communication. JRSS-A 184(2):407–431, 2021.</w:t>
      </w:r>
    </w:p>
    <w:p>
      <w:pPr>
        <w:tabs>
          <w:tab w:pos="432" w:val="left"/>
        </w:tabs>
        <w:spacing w:after="40" w:before="0"/>
        <w:ind w:left="432" w:hanging="432"/>
      </w:pPr>
      <w:r>
        <w:rPr>
          <w:sz w:val="20"/>
        </w:rPr>
        <w:t>24.</w:t>
        <w:tab/>
      </w:r>
      <w:r>
        <w:rPr>
          <w:sz w:val="20"/>
        </w:rPr>
        <w:t>I. Waudby-Smith, A. Ramdas. Estimating means of bounded random variables by betting. JRSS-B 86(1):1–27, 2024.</w:t>
      </w:r>
    </w:p>
    <w:p>
      <w:r>
        <w:br w:type="page"/>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664"/>
        <w:gridCol w:w="1857"/>
        <w:gridCol w:w="543"/>
        <w:gridCol w:w="894"/>
        <w:gridCol w:w="894"/>
        <w:gridCol w:w="957"/>
        <w:gridCol w:w="1262"/>
      </w:tblGrid>
      <w:tr>
        <w:trPr>
          <w:cantSplit/>
        </w:trPr>
        <w:tc>
          <w:tcPr>
            <w:tcW w:type="dxa" w:w="2664"/>
          </w:tcPr>
          <w:p>
            <w:pPr>
              <w:keepNext/>
              <w:spacing w:after="20"/>
            </w:pPr>
            <w:r>
              <w:rPr>
                <w:b/>
                <w:sz w:val="16"/>
              </w:rPr>
              <w:t>Condition</w:t>
            </w:r>
          </w:p>
        </w:tc>
        <w:tc>
          <w:tcPr>
            <w:tcW w:type="dxa" w:w="1857"/>
          </w:tcPr>
          <w:p>
            <w:pPr>
              <w:keepNext/>
              <w:spacing w:after="20"/>
            </w:pPr>
            <w:r>
              <w:rPr>
                <w:b/>
                <w:sz w:val="16"/>
              </w:rPr>
              <w:t>Game, model</w:t>
            </w:r>
          </w:p>
        </w:tc>
        <w:tc>
          <w:tcPr>
            <w:tcW w:type="dxa" w:w="543"/>
          </w:tcPr>
          <w:p>
            <w:pPr>
              <w:keepNext/>
              <w:spacing w:after="20"/>
            </w:pPr>
            <w:r>
              <w:rPr>
                <w:b/>
                <w:sz w:val="16"/>
              </w:rPr>
              <w:t>Games</w:t>
            </w:r>
          </w:p>
        </w:tc>
        <w:tc>
          <w:tcPr>
            <w:tcW w:type="dxa" w:w="894"/>
          </w:tcPr>
          <w:p>
            <w:pPr>
              <w:keepNext/>
              <w:spacing w:after="20"/>
            </w:pPr>
            <w:r>
              <w:rPr>
                <w:b/>
                <w:sz w:val="16"/>
              </w:rPr>
              <w:t>MI + shuffle</w:t>
            </w:r>
          </w:p>
        </w:tc>
        <w:tc>
          <w:tcPr>
            <w:tcW w:type="dxa" w:w="894"/>
          </w:tcPr>
          <w:p>
            <w:pPr>
              <w:keepNext/>
              <w:spacing w:after="20"/>
            </w:pPr>
            <w:r>
              <w:rPr>
                <w:b/>
                <w:sz w:val="16"/>
              </w:rPr>
              <w:t>Bonjour rule</w:t>
            </w:r>
          </w:p>
        </w:tc>
        <w:tc>
          <w:tcPr>
            <w:tcW w:type="dxa" w:w="957"/>
          </w:tcPr>
          <w:p>
            <w:pPr>
              <w:keepNext/>
              <w:spacing w:after="20"/>
            </w:pPr>
            <w:r>
              <w:rPr>
                <w:b/>
                <w:sz w:val="16"/>
              </w:rPr>
              <w:t>Replay, fixed</w:t>
            </w:r>
          </w:p>
        </w:tc>
        <w:tc>
          <w:tcPr>
            <w:tcW w:type="dxa" w:w="1262"/>
          </w:tcPr>
          <w:p>
            <w:pPr>
              <w:keepNext/>
              <w:spacing w:after="20"/>
            </w:pPr>
            <w:r>
              <w:rPr>
                <w:b/>
                <w:sz w:val="16"/>
              </w:rPr>
              <w:t>Replay, sequential</w:t>
            </w:r>
          </w:p>
        </w:tc>
      </w:tr>
      <w:tr>
        <w:trPr>
          <w:cantSplit/>
        </w:trPr>
        <w:tc>
          <w:tcPr>
            <w:tcW w:type="dxa" w:w="2664"/>
          </w:tcPr>
          <w:p>
            <w:pPr>
              <w:keepNext/>
              <w:spacing w:after="20"/>
            </w:pPr>
            <w:r>
              <w:rPr>
                <w:i/>
                <w:sz w:val="16"/>
              </w:rPr>
              <w:t>Honest: share flagged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Same model</w:t>
            </w:r>
          </w:p>
        </w:tc>
        <w:tc>
          <w:tcPr>
            <w:tcW w:type="dxa" w:w="1857"/>
          </w:tcPr>
          <w:p>
            <w:pPr>
              <w:keepNext/>
              <w:spacing w:after="20"/>
            </w:pPr>
            <w:r>
              <w:rPr>
                <w:sz w:val="16"/>
              </w:rPr>
              <w:t>RPS, DeepSeek</w:t>
            </w:r>
          </w:p>
        </w:tc>
        <w:tc>
          <w:tcPr>
            <w:tcW w:type="dxa" w:w="543"/>
          </w:tcPr>
          <w:p>
            <w:pPr>
              <w:keepNext/>
              <w:spacing w:after="20"/>
            </w:pPr>
            <w:r>
              <w:rPr>
                <w:sz w:val="16"/>
              </w:rPr>
              <w:t>150</w:t>
            </w:r>
          </w:p>
        </w:tc>
        <w:tc>
          <w:tcPr>
            <w:tcW w:type="dxa" w:w="894"/>
          </w:tcPr>
          <w:p>
            <w:pPr>
              <w:keepNext/>
              <w:spacing w:after="20"/>
            </w:pPr>
            <w:r>
              <w:rPr>
                <w:sz w:val="16"/>
              </w:rPr>
              <w:t>14.7%</w:t>
            </w:r>
          </w:p>
        </w:tc>
        <w:tc>
          <w:tcPr>
            <w:tcW w:type="dxa" w:w="894"/>
          </w:tcPr>
          <w:p>
            <w:pPr>
              <w:keepNext/>
              <w:spacing w:after="20"/>
            </w:pPr>
            <w:r>
              <w:rPr>
                <w:sz w:val="16"/>
              </w:rPr>
              <w:t>52%</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Haiku</w:t>
            </w:r>
          </w:p>
        </w:tc>
        <w:tc>
          <w:tcPr>
            <w:tcW w:type="dxa" w:w="543"/>
          </w:tcPr>
          <w:p>
            <w:pPr>
              <w:keepNext/>
              <w:spacing w:after="20"/>
            </w:pPr>
            <w:r>
              <w:rPr>
                <w:sz w:val="16"/>
              </w:rPr>
              <w:t>150</w:t>
            </w:r>
          </w:p>
        </w:tc>
        <w:tc>
          <w:tcPr>
            <w:tcW w:type="dxa" w:w="894"/>
          </w:tcPr>
          <w:p>
            <w:pPr>
              <w:keepNext/>
              <w:spacing w:after="20"/>
            </w:pPr>
            <w:r>
              <w:rPr>
                <w:sz w:val="16"/>
              </w:rPr>
              <w:t>69.3%</w:t>
            </w:r>
          </w:p>
        </w:tc>
        <w:tc>
          <w:tcPr>
            <w:tcW w:type="dxa" w:w="894"/>
          </w:tcPr>
          <w:p>
            <w:pPr>
              <w:keepNext/>
              <w:spacing w:after="20"/>
            </w:pPr>
            <w:r>
              <w:rPr>
                <w:sz w:val="16"/>
              </w:rPr>
              <w:t>61.3%</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Mixed models</w:t>
            </w:r>
          </w:p>
        </w:tc>
        <w:tc>
          <w:tcPr>
            <w:tcW w:type="dxa" w:w="1857"/>
          </w:tcPr>
          <w:p>
            <w:pPr>
              <w:keepNext/>
              <w:spacing w:after="20"/>
            </w:pPr>
            <w:r>
              <w:rPr>
                <w:sz w:val="16"/>
              </w:rPr>
              <w:t>RPS</w:t>
            </w:r>
          </w:p>
        </w:tc>
        <w:tc>
          <w:tcPr>
            <w:tcW w:type="dxa" w:w="543"/>
          </w:tcPr>
          <w:p>
            <w:pPr>
              <w:keepNext/>
              <w:spacing w:after="20"/>
            </w:pPr>
            <w:r>
              <w:rPr>
                <w:sz w:val="16"/>
              </w:rPr>
              <w:t>150</w:t>
            </w:r>
          </w:p>
        </w:tc>
        <w:tc>
          <w:tcPr>
            <w:tcW w:type="dxa" w:w="894"/>
          </w:tcPr>
          <w:p>
            <w:pPr>
              <w:keepNext/>
              <w:spacing w:after="20"/>
            </w:pPr>
            <w:r>
              <w:rPr>
                <w:sz w:val="16"/>
              </w:rPr>
              <w:t>20%</w:t>
            </w:r>
          </w:p>
        </w:tc>
        <w:tc>
          <w:tcPr>
            <w:tcW w:type="dxa" w:w="894"/>
          </w:tcPr>
          <w:p>
            <w:pPr>
              <w:keepNext/>
              <w:spacing w:after="20"/>
            </w:pPr>
            <w:r>
              <w:rPr>
                <w:sz w:val="16"/>
              </w:rPr>
              <w:t>55.3%</w:t>
            </w:r>
          </w:p>
        </w:tc>
        <w:tc>
          <w:tcPr>
            <w:tcW w:type="dxa" w:w="957"/>
          </w:tcPr>
          <w:p>
            <w:pPr>
              <w:keepNext/>
              <w:spacing w:after="20"/>
            </w:pPr>
            <w:r>
              <w:rPr>
                <w:sz w:val="16"/>
              </w:rPr>
              <w:t>2.7%</w:t>
            </w:r>
          </w:p>
        </w:tc>
        <w:tc>
          <w:tcPr>
            <w:tcW w:type="dxa" w:w="1262"/>
          </w:tcPr>
          <w:p>
            <w:pPr>
              <w:keepNext/>
              <w:spacing w:after="20"/>
            </w:pPr>
            <w:r>
              <w:rPr>
                <w:sz w:val="16"/>
              </w:rPr>
              <w:t>0.7%</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DeepSeek</w:t>
            </w:r>
          </w:p>
        </w:tc>
        <w:tc>
          <w:tcPr>
            <w:tcW w:type="dxa" w:w="543"/>
          </w:tcPr>
          <w:p>
            <w:pPr>
              <w:keepNext/>
              <w:spacing w:after="20"/>
            </w:pPr>
            <w:r>
              <w:rPr>
                <w:sz w:val="16"/>
              </w:rPr>
              <w:t>60</w:t>
            </w:r>
          </w:p>
        </w:tc>
        <w:tc>
          <w:tcPr>
            <w:tcW w:type="dxa" w:w="894"/>
          </w:tcPr>
          <w:p>
            <w:pPr>
              <w:keepNext/>
              <w:spacing w:after="20"/>
            </w:pPr>
            <w:r>
              <w:rPr>
                <w:sz w:val="16"/>
              </w:rPr>
              <w:t>11.7%</w:t>
            </w:r>
          </w:p>
        </w:tc>
        <w:tc>
          <w:tcPr>
            <w:tcW w:type="dxa" w:w="894"/>
          </w:tcPr>
          <w:p>
            <w:pPr>
              <w:keepNext/>
              <w:spacing w:after="20"/>
            </w:pPr>
            <w:r>
              <w:rPr>
                <w:sz w:val="16"/>
              </w:rPr>
              <w:t>48.3%</w:t>
            </w:r>
          </w:p>
        </w:tc>
        <w:tc>
          <w:tcPr>
            <w:tcW w:type="dxa" w:w="957"/>
          </w:tcPr>
          <w:p>
            <w:pPr>
              <w:keepNext/>
              <w:spacing w:after="20"/>
            </w:pPr>
            <w:r>
              <w:rPr>
                <w:sz w:val="16"/>
              </w:rPr>
              <w:t>6.7%</w:t>
            </w:r>
          </w:p>
        </w:tc>
        <w:tc>
          <w:tcPr>
            <w:tcW w:type="dxa" w:w="1262"/>
          </w:tcPr>
          <w:p>
            <w:pPr>
              <w:keepNext/>
              <w:spacing w:after="20"/>
            </w:pPr>
            <w:r>
              <w:rPr>
                <w:sz w:val="16"/>
              </w:rPr>
              <w:t>0%</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45%</w:t>
            </w:r>
          </w:p>
        </w:tc>
        <w:tc>
          <w:tcPr>
            <w:tcW w:type="dxa" w:w="894"/>
          </w:tcPr>
          <w:p>
            <w:pPr>
              <w:keepNext/>
              <w:spacing w:after="20"/>
            </w:pPr>
            <w:r>
              <w:rPr>
                <w:sz w:val="16"/>
              </w:rPr>
              <w:t>65%</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5%</w:t>
            </w:r>
          </w:p>
        </w:tc>
        <w:tc>
          <w:tcPr>
            <w:tcW w:type="dxa" w:w="894"/>
          </w:tcPr>
          <w:p>
            <w:pPr>
              <w:keepNext/>
              <w:spacing w:after="20"/>
            </w:pPr>
            <w:r>
              <w:rPr>
                <w:sz w:val="16"/>
              </w:rPr>
              <w:t>57.5%</w:t>
            </w:r>
          </w:p>
        </w:tc>
        <w:tc>
          <w:tcPr>
            <w:tcW w:type="dxa" w:w="957"/>
          </w:tcPr>
          <w:p>
            <w:pPr>
              <w:keepNext/>
              <w:spacing w:after="20"/>
            </w:pPr>
            <w:r>
              <w:rPr>
                <w:sz w:val="16"/>
              </w:rPr>
              <w:t>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Haiku</w:t>
            </w:r>
          </w:p>
        </w:tc>
        <w:tc>
          <w:tcPr>
            <w:tcW w:type="dxa" w:w="543"/>
          </w:tcPr>
          <w:p>
            <w:pPr>
              <w:keepNext/>
              <w:spacing w:after="20"/>
            </w:pPr>
            <w:r>
              <w:rPr>
                <w:sz w:val="16"/>
              </w:rPr>
              <w:t>30</w:t>
            </w:r>
          </w:p>
        </w:tc>
        <w:tc>
          <w:tcPr>
            <w:tcW w:type="dxa" w:w="894"/>
          </w:tcPr>
          <w:p>
            <w:pPr>
              <w:keepNext/>
              <w:spacing w:after="20"/>
            </w:pPr>
            <w:r>
              <w:rPr>
                <w:sz w:val="16"/>
              </w:rPr>
              <w:t>50%</w:t>
            </w:r>
          </w:p>
        </w:tc>
        <w:tc>
          <w:tcPr>
            <w:tcW w:type="dxa" w:w="894"/>
          </w:tcPr>
          <w:p>
            <w:pPr>
              <w:keepNext/>
              <w:spacing w:after="20"/>
            </w:pPr>
            <w:r>
              <w:rPr>
                <w:sz w:val="16"/>
              </w:rPr>
              <w:t>60%</w:t>
            </w:r>
          </w:p>
        </w:tc>
        <w:tc>
          <w:tcPr>
            <w:tcW w:type="dxa" w:w="957"/>
          </w:tcPr>
          <w:p>
            <w:pPr>
              <w:keepNext/>
              <w:spacing w:after="20"/>
            </w:pPr>
            <w:r>
              <w:rPr>
                <w:sz w:val="16"/>
              </w:rPr>
              <w:t>3.3%</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Auction, DeepSeek</w:t>
            </w:r>
          </w:p>
        </w:tc>
        <w:tc>
          <w:tcPr>
            <w:tcW w:type="dxa" w:w="543"/>
          </w:tcPr>
          <w:p>
            <w:pPr>
              <w:keepNext/>
              <w:spacing w:after="20"/>
            </w:pPr>
            <w:r>
              <w:rPr>
                <w:sz w:val="16"/>
              </w:rPr>
              <w:t>100</w:t>
            </w:r>
          </w:p>
        </w:tc>
        <w:tc>
          <w:tcPr>
            <w:tcW w:type="dxa" w:w="894"/>
          </w:tcPr>
          <w:p>
            <w:pPr>
              <w:keepNext/>
              <w:spacing w:after="20"/>
            </w:pPr>
            <w:r>
              <w:rPr>
                <w:sz w:val="16"/>
              </w:rPr>
              <w:t>0%</w:t>
            </w:r>
          </w:p>
        </w:tc>
        <w:tc>
          <w:tcPr>
            <w:tcW w:type="dxa" w:w="894"/>
          </w:tcPr>
          <w:p>
            <w:pPr>
              <w:keepNext/>
              <w:spacing w:after="20"/>
            </w:pPr>
            <w:r>
              <w:rPr>
                <w:sz w:val="16"/>
              </w:rPr>
              <w:t>1%</w:t>
            </w:r>
          </w:p>
        </w:tc>
        <w:tc>
          <w:tcPr>
            <w:tcW w:type="dxa" w:w="957"/>
          </w:tcPr>
          <w:p>
            <w:pPr>
              <w:keepNext/>
              <w:spacing w:after="20"/>
            </w:pPr>
            <w:r>
              <w:rPr>
                <w:sz w:val="16"/>
              </w:rPr>
              <w:t>1%</w:t>
            </w:r>
          </w:p>
        </w:tc>
        <w:tc>
          <w:tcPr>
            <w:tcW w:type="dxa" w:w="1262"/>
          </w:tcPr>
          <w:p>
            <w:pPr>
              <w:keepNext/>
              <w:spacing w:after="20"/>
            </w:pPr>
            <w:r>
              <w:rPr>
                <w:sz w:val="16"/>
              </w:rPr>
              <w:t>0%</w:t>
            </w:r>
          </w:p>
        </w:tc>
      </w:tr>
      <w:tr>
        <w:trPr>
          <w:cantSplit/>
        </w:trPr>
        <w:tc>
          <w:tcPr>
            <w:tcW w:type="dxa" w:w="2664"/>
          </w:tcPr>
          <w:p>
            <w:pPr>
              <w:keepNext/>
              <w:spacing w:after="20"/>
            </w:pPr>
            <w:r>
              <w:rPr>
                <w:sz w:val="16"/>
              </w:rPr>
              <w:t>Public-data vendor</w:t>
            </w:r>
          </w:p>
        </w:tc>
        <w:tc>
          <w:tcPr>
            <w:tcW w:type="dxa" w:w="1857"/>
          </w:tcPr>
          <w:p>
            <w:pPr>
              <w:keepNext/>
              <w:spacing w:after="20"/>
            </w:pPr>
            <w:r>
              <w:rPr>
                <w:sz w:val="16"/>
              </w:rPr>
              <w:t>Auction, DeepSeek</w:t>
            </w:r>
          </w:p>
        </w:tc>
        <w:tc>
          <w:tcPr>
            <w:tcW w:type="dxa" w:w="543"/>
          </w:tcPr>
          <w:p>
            <w:pPr>
              <w:keepNext/>
              <w:spacing w:after="20"/>
            </w:pPr>
            <w:r>
              <w:rPr>
                <w:sz w:val="16"/>
              </w:rPr>
              <w:t>60</w:t>
            </w:r>
          </w:p>
        </w:tc>
        <w:tc>
          <w:tcPr>
            <w:tcW w:type="dxa" w:w="894"/>
          </w:tcPr>
          <w:p>
            <w:pPr>
              <w:keepNext/>
              <w:spacing w:after="20"/>
            </w:pPr>
            <w:r>
              <w:rPr>
                <w:sz w:val="16"/>
              </w:rPr>
              <w:t>1.7%</w:t>
            </w:r>
          </w:p>
        </w:tc>
        <w:tc>
          <w:tcPr>
            <w:tcW w:type="dxa" w:w="894"/>
          </w:tcPr>
          <w:p>
            <w:pPr>
              <w:keepNext/>
              <w:spacing w:after="20"/>
            </w:pPr>
            <w:r>
              <w:rPr>
                <w:sz w:val="16"/>
              </w:rPr>
              <w:t>1.7%</w:t>
            </w:r>
          </w:p>
        </w:tc>
        <w:tc>
          <w:tcPr>
            <w:tcW w:type="dxa" w:w="957"/>
          </w:tcPr>
          <w:p>
            <w:pPr>
              <w:keepNext/>
              <w:spacing w:after="20"/>
            </w:pPr>
            <w:r>
              <w:rPr>
                <w:sz w:val="16"/>
              </w:rPr>
              <w:t>1.7%</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GPT-6 Luna</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Gemma 3 12B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10.0%</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gpt-oss-20b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2.5%</w:t>
            </w:r>
          </w:p>
        </w:tc>
        <w:tc>
          <w:tcPr>
            <w:tcW w:type="dxa" w:w="1262"/>
          </w:tcPr>
          <w:p>
            <w:pPr>
              <w:keepNext/>
              <w:spacing w:after="20"/>
            </w:pPr>
            <w:r>
              <w:rPr>
                <w:sz w:val="16"/>
              </w:rPr>
              <w:t>2.5%</w:t>
            </w:r>
          </w:p>
        </w:tc>
      </w:tr>
      <w:tr>
        <w:trPr>
          <w:cantSplit/>
        </w:trPr>
        <w:tc>
          <w:tcPr>
            <w:tcW w:type="dxa" w:w="2664"/>
          </w:tcPr>
          <w:p>
            <w:pPr>
              <w:keepNext/>
              <w:spacing w:after="20"/>
            </w:pPr>
            <w:r>
              <w:rPr>
                <w:i/>
                <w:sz w:val="16"/>
              </w:rPr>
              <w:t>Colluding: true pair named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Secret plan</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7.5%</w:t>
            </w:r>
          </w:p>
        </w:tc>
        <w:tc>
          <w:tcPr>
            <w:tcW w:type="dxa" w:w="894"/>
          </w:tcPr>
          <w:p>
            <w:pPr>
              <w:keepNext/>
              <w:spacing w:after="20"/>
            </w:pPr>
            <w:r>
              <w:rPr>
                <w:sz w:val="16"/>
              </w:rPr>
              <w:t>17.5%</w:t>
            </w:r>
          </w:p>
        </w:tc>
        <w:tc>
          <w:tcPr>
            <w:tcW w:type="dxa" w:w="957"/>
          </w:tcPr>
          <w:p>
            <w:pPr>
              <w:keepNext/>
              <w:spacing w:after="20"/>
            </w:pPr>
            <w:r>
              <w:rPr>
                <w:sz w:val="16"/>
              </w:rPr>
              <w:t>10%</w:t>
            </w:r>
          </w:p>
        </w:tc>
        <w:tc>
          <w:tcPr>
            <w:tcW w:type="dxa" w:w="1262"/>
          </w:tcPr>
          <w:p>
            <w:pPr>
              <w:keepNext/>
              <w:spacing w:after="20"/>
            </w:pPr>
            <w:r>
              <w:rPr>
                <w:sz w:val="16"/>
              </w:rPr>
              <w:t>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62.5%</w:t>
            </w:r>
          </w:p>
        </w:tc>
        <w:tc>
          <w:tcPr>
            <w:tcW w:type="dxa" w:w="894"/>
          </w:tcPr>
          <w:p>
            <w:pPr>
              <w:keepNext/>
              <w:spacing w:after="20"/>
            </w:pPr>
            <w:r>
              <w:rPr>
                <w:sz w:val="16"/>
              </w:rPr>
              <w:t>15%</w:t>
            </w:r>
          </w:p>
        </w:tc>
        <w:tc>
          <w:tcPr>
            <w:tcW w:type="dxa" w:w="957"/>
          </w:tcPr>
          <w:p>
            <w:pPr>
              <w:keepNext/>
              <w:spacing w:after="20"/>
            </w:pPr>
            <w:r>
              <w:rPr>
                <w:sz w:val="16"/>
              </w:rPr>
              <w:t>35%</w:t>
            </w:r>
          </w:p>
        </w:tc>
        <w:tc>
          <w:tcPr>
            <w:tcW w:type="dxa" w:w="1262"/>
          </w:tcPr>
          <w:p>
            <w:pPr>
              <w:keepNext/>
              <w:spacing w:after="20"/>
            </w:pPr>
            <w:r>
              <w:rPr>
                <w:sz w:val="16"/>
              </w:rPr>
              <w:t>82.5%</w:t>
            </w:r>
          </w:p>
        </w:tc>
      </w:tr>
      <w:tr>
        <w:trPr>
          <w:cantSplit/>
        </w:trPr>
        <w:tc>
          <w:tcPr>
            <w:tcW w:type="dxa" w:w="2664"/>
          </w:tcPr>
          <w:p>
            <w:pPr>
              <w:keepNext/>
              <w:spacing w:after="20"/>
            </w:pPr>
            <w:r>
              <w:rPr>
                <w:sz w:val="16"/>
              </w:rPr>
              <w:t>Pooled-data vendor</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95%</w:t>
            </w:r>
          </w:p>
        </w:tc>
        <w:tc>
          <w:tcPr>
            <w:tcW w:type="dxa" w:w="894"/>
          </w:tcPr>
          <w:p>
            <w:pPr>
              <w:keepNext/>
              <w:spacing w:after="20"/>
            </w:pPr>
            <w:r>
              <w:rPr>
                <w:sz w:val="16"/>
              </w:rPr>
              <w:t>97.5%</w:t>
            </w:r>
          </w:p>
        </w:tc>
        <w:tc>
          <w:tcPr>
            <w:tcW w:type="dxa" w:w="957"/>
          </w:tcPr>
          <w:p>
            <w:pPr>
              <w:keepNext/>
              <w:spacing w:after="20"/>
            </w:pPr>
            <w:r>
              <w:rPr>
                <w:sz w:val="16"/>
              </w:rPr>
              <w:t>92.5%</w:t>
            </w:r>
          </w:p>
        </w:tc>
        <w:tc>
          <w:tcPr>
            <w:tcW w:type="dxa" w:w="1262"/>
          </w:tcPr>
          <w:p>
            <w:pPr>
              <w:keepNext/>
              <w:spacing w:after="20"/>
            </w:pPr>
            <w:r>
              <w:rPr>
                <w:sz w:val="16"/>
              </w:rPr>
              <w:t>45%</w:t>
            </w:r>
          </w:p>
        </w:tc>
      </w:tr>
      <w:tr>
        <w:trPr>
          <w:cantSplit/>
        </w:trPr>
        <w:tc>
          <w:tcPr>
            <w:tcW w:type="dxa" w:w="2664"/>
          </w:tcPr>
          <w:p>
            <w:pPr>
              <w:keepNext/>
              <w:spacing w:after="20"/>
            </w:pPr>
            <w:r>
              <w:rPr>
                <w:sz w:val="16"/>
              </w:rPr>
              <w:t>Bid-rotation cartel</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60%</w:t>
            </w:r>
          </w:p>
        </w:tc>
        <w:tc>
          <w:tcPr>
            <w:tcW w:type="dxa" w:w="894"/>
          </w:tcPr>
          <w:p>
            <w:pPr>
              <w:keepNext/>
              <w:spacing w:after="20"/>
            </w:pPr>
            <w:r>
              <w:rPr>
                <w:sz w:val="16"/>
              </w:rPr>
              <w:t>67.5%</w:t>
            </w:r>
          </w:p>
        </w:tc>
        <w:tc>
          <w:tcPr>
            <w:tcW w:type="dxa" w:w="957"/>
          </w:tcPr>
          <w:p>
            <w:pPr>
              <w:keepNext/>
              <w:spacing w:after="20"/>
            </w:pPr>
            <w:r>
              <w:rPr>
                <w:sz w:val="16"/>
              </w:rPr>
              <w:t>57.5%</w:t>
            </w:r>
          </w:p>
        </w:tc>
        <w:tc>
          <w:tcPr>
            <w:tcW w:type="dxa" w:w="1262"/>
          </w:tcPr>
          <w:p>
            <w:pPr>
              <w:keepNext/>
              <w:spacing w:after="20"/>
            </w:pPr>
            <w:r>
              <w:rPr>
                <w:sz w:val="16"/>
              </w:rPr>
              <w:t>5%</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GPT-6 Luna</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50.0%</w:t>
            </w:r>
          </w:p>
        </w:tc>
        <w:tc>
          <w:tcPr>
            <w:tcW w:type="dxa" w:w="1262"/>
          </w:tcPr>
          <w:p>
            <w:pPr>
              <w:keepNext/>
              <w:spacing w:after="20"/>
            </w:pPr>
            <w:r>
              <w:rPr>
                <w:sz w:val="16"/>
              </w:rPr>
              <w:t>20%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Gemma 3 12B</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w:t>
            </w:r>
          </w:p>
        </w:tc>
        <w:tc>
          <w:tcPr>
            <w:tcW w:type="dxa" w:w="1262"/>
          </w:tcPr>
          <w:p>
            <w:pPr>
              <w:keepNext/>
              <w:spacing w:after="20"/>
            </w:pPr>
            <w:r>
              <w:rPr>
                <w:sz w:val="16"/>
              </w:rPr>
              <w:t>10%</w:t>
            </w:r>
          </w:p>
        </w:tc>
      </w:tr>
      <w:tr>
        <w:trPr>
          <w:cantSplit/>
        </w:trPr>
        <w:tc>
          <w:tcPr>
            <w:tcW w:type="dxa" w:w="2664"/>
          </w:tcPr>
          <w:p>
            <w:pPr>
              <w:keepNext w:val="0"/>
              <w:spacing w:after="20"/>
            </w:pPr>
            <w:r>
              <w:rPr>
                <w:sz w:val="16"/>
              </w:rPr>
              <w:t>Secret plan</w:t>
            </w:r>
          </w:p>
        </w:tc>
        <w:tc>
          <w:tcPr>
            <w:tcW w:type="dxa" w:w="1857"/>
          </w:tcPr>
          <w:p>
            <w:pPr>
              <w:keepNext w:val="0"/>
              <w:spacing w:after="20"/>
            </w:pPr>
            <w:r>
              <w:rPr>
                <w:sz w:val="16"/>
              </w:rPr>
              <w:t>RPS, gpt-oss-20b</w:t>
            </w:r>
          </w:p>
        </w:tc>
        <w:tc>
          <w:tcPr>
            <w:tcW w:type="dxa" w:w="543"/>
          </w:tcPr>
          <w:p>
            <w:pPr>
              <w:keepNext w:val="0"/>
              <w:spacing w:after="20"/>
            </w:pPr>
            <w:r>
              <w:rPr>
                <w:sz w:val="16"/>
              </w:rPr>
              <w:t>20</w:t>
            </w:r>
          </w:p>
        </w:tc>
        <w:tc>
          <w:tcPr>
            <w:tcW w:type="dxa" w:w="894"/>
          </w:tcPr>
          <w:p>
            <w:pPr>
              <w:keepNext w:val="0"/>
              <w:spacing w:after="20"/>
            </w:pPr>
            <w:r>
              <w:rPr>
                <w:sz w:val="16"/>
              </w:rPr>
              <w:t>–</w:t>
            </w:r>
          </w:p>
        </w:tc>
        <w:tc>
          <w:tcPr>
            <w:tcW w:type="dxa" w:w="894"/>
          </w:tcPr>
          <w:p>
            <w:pPr>
              <w:keepNext w:val="0"/>
              <w:spacing w:after="20"/>
            </w:pPr>
            <w:r>
              <w:rPr>
                <w:sz w:val="16"/>
              </w:rPr>
              <w:t>–</w:t>
            </w:r>
          </w:p>
        </w:tc>
        <w:tc>
          <w:tcPr>
            <w:tcW w:type="dxa" w:w="957"/>
          </w:tcPr>
          <w:p>
            <w:pPr>
              <w:keepNext w:val="0"/>
              <w:spacing w:after="20"/>
            </w:pPr>
            <w:r>
              <w:rPr>
                <w:sz w:val="16"/>
              </w:rPr>
              <w:t>0.0%</w:t>
            </w:r>
          </w:p>
        </w:tc>
        <w:tc>
          <w:tcPr>
            <w:tcW w:type="dxa" w:w="1262"/>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5" name="Picture 5"/>
            <wp:cNvGraphicFramePr>
              <a:graphicFrameLocks noChangeAspect="1"/>
            </wp:cNvGraphicFramePr>
            <a:graphic>
              <a:graphicData uri="http://schemas.openxmlformats.org/drawingml/2006/picture">
                <pic:pic>
                  <pic:nvPicPr>
                    <pic:cNvPr id="0" name="p_figA1_all.png"/>
                    <pic:cNvPicPr/>
                  </pic:nvPicPr>
                  <pic:blipFill>
                    <a:blip r:embed="rId12"/>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Every condition.</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642"/>
        <w:gridCol w:w="1039"/>
        <w:gridCol w:w="2318"/>
        <w:gridCol w:w="1064"/>
        <w:gridCol w:w="911"/>
        <w:gridCol w:w="2097"/>
      </w:tblGrid>
      <w:tr>
        <w:trPr>
          <w:cantSplit/>
        </w:trPr>
        <w:tc>
          <w:tcPr>
            <w:tcW w:type="dxa" w:w="1642"/>
          </w:tcPr>
          <w:p>
            <w:pPr>
              <w:keepNext/>
              <w:spacing w:after="20"/>
            </w:pPr>
            <w:r>
              <w:rPr>
                <w:b/>
                <w:sz w:val="16"/>
              </w:rPr>
              <w:t>Model</w:t>
            </w:r>
          </w:p>
        </w:tc>
        <w:tc>
          <w:tcPr>
            <w:tcW w:type="dxa" w:w="1039"/>
          </w:tcPr>
          <w:p>
            <w:pPr>
              <w:keepNext/>
              <w:spacing w:after="20"/>
            </w:pPr>
            <w:r>
              <w:rPr>
                <w:b/>
                <w:sz w:val="16"/>
              </w:rPr>
              <w:t>Game</w:t>
            </w:r>
          </w:p>
        </w:tc>
        <w:tc>
          <w:tcPr>
            <w:tcW w:type="dxa" w:w="2318"/>
          </w:tcPr>
          <w:p>
            <w:pPr>
              <w:keepNext/>
              <w:spacing w:after="20"/>
            </w:pPr>
            <w:r>
              <w:rPr>
                <w:b/>
                <w:sz w:val="16"/>
              </w:rPr>
              <w:t>Seats</w:t>
            </w:r>
          </w:p>
        </w:tc>
        <w:tc>
          <w:tcPr>
            <w:tcW w:type="dxa" w:w="1064"/>
          </w:tcPr>
          <w:p>
            <w:pPr>
              <w:keepNext/>
              <w:spacing w:after="20"/>
            </w:pPr>
            <w:r>
              <w:rPr>
                <w:b/>
                <w:sz w:val="16"/>
              </w:rPr>
              <w:t>Agent-rounds</w:t>
            </w:r>
          </w:p>
        </w:tc>
        <w:tc>
          <w:tcPr>
            <w:tcW w:type="dxa" w:w="911"/>
          </w:tcPr>
          <w:p>
            <w:pPr>
              <w:keepNext/>
              <w:spacing w:after="20"/>
            </w:pPr>
            <w:r>
              <w:rPr>
                <w:b/>
                <w:sz w:val="16"/>
              </w:rPr>
              <w:t>Difference</w:t>
            </w:r>
          </w:p>
        </w:tc>
        <w:tc>
          <w:tcPr>
            <w:tcW w:type="dxa" w:w="2097"/>
          </w:tcPr>
          <w:p>
            <w:pPr>
              <w:keepNext/>
              <w:spacing w:after="20"/>
            </w:pPr>
            <w:r>
              <w:rPr>
                <w:b/>
                <w:sz w:val="16"/>
              </w:rPr>
              <w:t>95% CI</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30,000</w:t>
            </w:r>
          </w:p>
        </w:tc>
        <w:tc>
          <w:tcPr>
            <w:tcW w:type="dxa" w:w="911"/>
          </w:tcPr>
          <w:p>
            <w:pPr>
              <w:keepNext/>
              <w:spacing w:after="20"/>
            </w:pPr>
            <w:r>
              <w:rPr>
                <w:sz w:val="16"/>
              </w:rPr>
              <w:t>−0.002</w:t>
            </w:r>
          </w:p>
        </w:tc>
        <w:tc>
          <w:tcPr>
            <w:tcW w:type="dxa" w:w="2097"/>
          </w:tcPr>
          <w:p>
            <w:pPr>
              <w:keepNext/>
              <w:spacing w:after="20"/>
            </w:pPr>
            <w:r>
              <w:rPr>
                <w:sz w:val="16"/>
              </w:rPr>
              <w:t>−0.009 to +0.004</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−0.011</w:t>
            </w:r>
          </w:p>
        </w:tc>
        <w:tc>
          <w:tcPr>
            <w:tcW w:type="dxa" w:w="2097"/>
          </w:tcPr>
          <w:p>
            <w:pPr>
              <w:keepNext/>
              <w:spacing w:after="20"/>
            </w:pPr>
            <w:r>
              <w:rPr>
                <w:sz w:val="16"/>
              </w:rPr>
              <w:t>−0.031 to +0.011</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26,400</w:t>
            </w:r>
          </w:p>
        </w:tc>
        <w:tc>
          <w:tcPr>
            <w:tcW w:type="dxa" w:w="911"/>
          </w:tcPr>
          <w:p>
            <w:pPr>
              <w:keepNext/>
              <w:spacing w:after="20"/>
            </w:pPr>
            <w:r>
              <w:rPr>
                <w:sz w:val="16"/>
              </w:rPr>
              <w:t>−0.001</w:t>
            </w:r>
          </w:p>
        </w:tc>
        <w:tc>
          <w:tcPr>
            <w:tcW w:type="dxa" w:w="2097"/>
          </w:tcPr>
          <w:p>
            <w:pPr>
              <w:keepNext/>
              <w:spacing w:after="20"/>
            </w:pPr>
            <w:r>
              <w:rPr>
                <w:sz w:val="16"/>
              </w:rPr>
              <w:t>−0.007 to +0.005</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+0.007</w:t>
            </w:r>
          </w:p>
        </w:tc>
        <w:tc>
          <w:tcPr>
            <w:tcW w:type="dxa" w:w="2097"/>
          </w:tcPr>
          <w:p>
            <w:pPr>
              <w:keepNext/>
              <w:spacing w:after="20"/>
            </w:pPr>
            <w:r>
              <w:rPr>
                <w:sz w:val="16"/>
              </w:rPr>
              <w:t>−0.011 to +0.025</w:t>
            </w:r>
          </w:p>
        </w:tc>
      </w:tr>
      <w:tr>
        <w:trPr>
          <w:cantSplit/>
        </w:trPr>
        <w:tc>
          <w:tcPr>
            <w:tcW w:type="dxa" w:w="1642"/>
          </w:tcPr>
          <w:p>
            <w:pPr>
              <w:keepNext/>
              <w:spacing w:after="20"/>
            </w:pPr>
            <w:r>
              <w:rPr>
                <w:sz w:val="16"/>
              </w:rPr>
              <w:t>Mixed</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18,000</w:t>
            </w:r>
          </w:p>
        </w:tc>
        <w:tc>
          <w:tcPr>
            <w:tcW w:type="dxa" w:w="911"/>
          </w:tcPr>
          <w:p>
            <w:pPr>
              <w:keepNext/>
              <w:spacing w:after="20"/>
            </w:pPr>
            <w:r>
              <w:rPr>
                <w:sz w:val="16"/>
              </w:rPr>
              <w:t>−0.005</w:t>
            </w:r>
          </w:p>
        </w:tc>
        <w:tc>
          <w:tcPr>
            <w:tcW w:type="dxa" w:w="2097"/>
          </w:tcPr>
          <w:p>
            <w:pPr>
              <w:keepNext/>
              <w:spacing w:after="20"/>
            </w:pPr>
            <w:r>
              <w:rPr>
                <w:sz w:val="16"/>
              </w:rPr>
              <w:t>−0.013 to +0.003</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+0.011</w:t>
            </w:r>
          </w:p>
        </w:tc>
        <w:tc>
          <w:tcPr>
            <w:tcW w:type="dxa" w:w="2097"/>
          </w:tcPr>
          <w:p>
            <w:pPr>
              <w:keepNext/>
              <w:spacing w:after="20"/>
            </w:pPr>
            <w:r>
              <w:rPr>
                <w:sz w:val="16"/>
              </w:rPr>
              <w:t>−0.000 to +0.022</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+0.002</w:t>
            </w:r>
          </w:p>
        </w:tc>
        <w:tc>
          <w:tcPr>
            <w:tcW w:type="dxa" w:w="2097"/>
          </w:tcPr>
          <w:p>
            <w:pPr>
              <w:keepNext/>
              <w:spacing w:after="20"/>
            </w:pPr>
            <w:r>
              <w:rPr>
                <w:sz w:val="16"/>
              </w:rPr>
              <w:t>−0.020 to +0.027</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+0.000</w:t>
            </w:r>
          </w:p>
        </w:tc>
        <w:tc>
          <w:tcPr>
            <w:tcW w:type="dxa" w:w="2097"/>
          </w:tcPr>
          <w:p>
            <w:pPr>
              <w:keepNext/>
              <w:spacing w:after="20"/>
            </w:pPr>
            <w:r>
              <w:rPr>
                <w:sz w:val="16"/>
              </w:rPr>
              <w:t>−0.016 to +0.016</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+0.008</w:t>
            </w:r>
          </w:p>
        </w:tc>
        <w:tc>
          <w:tcPr>
            <w:tcW w:type="dxa" w:w="2097"/>
          </w:tcPr>
          <w:p>
            <w:pPr>
              <w:keepNext/>
              <w:spacing w:after="20"/>
            </w:pPr>
            <w:r>
              <w:rPr>
                <w:sz w:val="16"/>
              </w:rPr>
              <w:t>−0.029 to +0.039</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+0.019</w:t>
            </w:r>
          </w:p>
        </w:tc>
        <w:tc>
          <w:tcPr>
            <w:tcW w:type="dxa" w:w="2097"/>
          </w:tcPr>
          <w:p>
            <w:pPr>
              <w:keepNext/>
              <w:spacing w:after="20"/>
            </w:pPr>
            <w:r>
              <w:rPr>
                <w:sz w:val="16"/>
              </w:rPr>
              <w:t>+0.003 to +0.034</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−0.016</w:t>
            </w:r>
          </w:p>
        </w:tc>
        <w:tc>
          <w:tcPr>
            <w:tcW w:type="dxa" w:w="2097"/>
          </w:tcPr>
          <w:p>
            <w:pPr>
              <w:keepNext/>
              <w:spacing w:after="20"/>
            </w:pPr>
            <w:r>
              <w:rPr>
                <w:sz w:val="16"/>
              </w:rPr>
              <w:t>−0.041 to +0.010</w:t>
            </w:r>
          </w:p>
        </w:tc>
      </w:tr>
      <w:tr>
        <w:trPr>
          <w:cantSplit/>
        </w:trPr>
        <w:tc>
          <w:tcPr>
            <w:tcW w:type="dxa" w:w="1642"/>
          </w:tcPr>
          <w:p>
            <w:pPr>
              <w:keepNext w:val="0"/>
              <w:spacing w:after="20"/>
            </w:pPr>
            <w:r>
              <w:rPr>
                <w:sz w:val="16"/>
              </w:rPr>
              <w:t>DeepSeek</w:t>
            </w:r>
          </w:p>
        </w:tc>
        <w:tc>
          <w:tcPr>
            <w:tcW w:type="dxa" w:w="1039"/>
          </w:tcPr>
          <w:p>
            <w:pPr>
              <w:keepNext w:val="0"/>
              <w:spacing w:after="20"/>
            </w:pPr>
            <w:r>
              <w:rPr>
                <w:sz w:val="16"/>
              </w:rPr>
              <w:t>Auction</w:t>
            </w:r>
          </w:p>
        </w:tc>
        <w:tc>
          <w:tcPr>
            <w:tcW w:type="dxa" w:w="2318"/>
          </w:tcPr>
          <w:p>
            <w:pPr>
              <w:keepNext w:val="0"/>
              <w:spacing w:after="20"/>
            </w:pPr>
            <w:r>
              <w:rPr>
                <w:sz w:val="16"/>
              </w:rPr>
              <w:t>all (honest games)</w:t>
            </w:r>
          </w:p>
        </w:tc>
        <w:tc>
          <w:tcPr>
            <w:tcW w:type="dxa" w:w="1064"/>
          </w:tcPr>
          <w:p>
            <w:pPr>
              <w:keepNext w:val="0"/>
              <w:spacing w:after="20"/>
            </w:pPr>
            <w:r>
              <w:rPr>
                <w:sz w:val="16"/>
              </w:rPr>
              <w:t>12,000</w:t>
            </w:r>
          </w:p>
        </w:tc>
        <w:tc>
          <w:tcPr>
            <w:tcW w:type="dxa" w:w="911"/>
          </w:tcPr>
          <w:p>
            <w:pPr>
              <w:keepNext w:val="0"/>
              <w:spacing w:after="20"/>
            </w:pPr>
            <w:r>
              <w:rPr>
                <w:sz w:val="16"/>
              </w:rPr>
              <w:t>−0.004</w:t>
            </w:r>
          </w:p>
        </w:tc>
        <w:tc>
          <w:tcPr>
            <w:tcW w:type="dxa" w:w="2097"/>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6" name="Picture 6"/>
            <wp:cNvGraphicFramePr>
              <a:graphicFrameLocks noChangeAspect="1"/>
            </wp:cNvGraphicFramePr>
            <a:graphic>
              <a:graphicData uri="http://schemas.openxmlformats.org/drawingml/2006/picture">
                <pic:pic>
                  <pic:nvPicPr>
                    <pic:cNvPr id="0" name="p_figA2_pvalues.png"/>
                    <pic:cNvPicPr/>
                  </pic:nvPicPr>
                  <pic:blipFill>
                    <a:blip r:embed="rId13"/>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61"/>
        <w:gridCol w:w="1237"/>
        <w:gridCol w:w="1410"/>
        <w:gridCol w:w="1237"/>
        <w:gridCol w:w="1295"/>
        <w:gridCol w:w="532"/>
      </w:tblGrid>
      <w:tr>
        <w:trPr>
          <w:cantSplit/>
        </w:trPr>
        <w:tc>
          <w:tcPr>
            <w:tcW w:type="dxa" w:w="3361"/>
          </w:tcPr>
          <w:p>
            <w:pPr>
              <w:keepNext/>
              <w:spacing w:after="20"/>
            </w:pPr>
            <w:r>
              <w:rPr>
                <w:b/>
                <w:sz w:val="16"/>
              </w:rPr>
              <w:t>Betting function</w:t>
            </w:r>
          </w:p>
        </w:tc>
        <w:tc>
          <w:tcPr>
            <w:tcW w:type="dxa" w:w="1237"/>
          </w:tcPr>
          <w:p>
            <w:pPr>
              <w:keepNext/>
              <w:spacing w:after="20"/>
            </w:pPr>
            <w:r>
              <w:rPr>
                <w:b/>
                <w:sz w:val="16"/>
              </w:rPr>
              <w:t>Haiku, secret plan</w:t>
            </w:r>
          </w:p>
        </w:tc>
        <w:tc>
          <w:tcPr>
            <w:tcW w:type="dxa" w:w="1410"/>
          </w:tcPr>
          <w:p>
            <w:pPr>
              <w:keepNext/>
              <w:spacing w:after="20"/>
            </w:pPr>
            <w:r>
              <w:rPr>
                <w:b/>
                <w:sz w:val="16"/>
              </w:rPr>
              <w:t>DeepSeek, secret plan</w:t>
            </w:r>
          </w:p>
        </w:tc>
        <w:tc>
          <w:tcPr>
            <w:tcW w:type="dxa" w:w="1237"/>
          </w:tcPr>
          <w:p>
            <w:pPr>
              <w:keepNext/>
              <w:spacing w:after="20"/>
            </w:pPr>
            <w:r>
              <w:rPr>
                <w:b/>
                <w:sz w:val="16"/>
              </w:rPr>
              <w:t>Pooled-data vendor</w:t>
            </w:r>
          </w:p>
        </w:tc>
        <w:tc>
          <w:tcPr>
            <w:tcW w:type="dxa" w:w="1295"/>
          </w:tcPr>
          <w:p>
            <w:pPr>
              <w:keepNext/>
              <w:spacing w:after="20"/>
            </w:pPr>
            <w:r>
              <w:rPr>
                <w:b/>
                <w:sz w:val="16"/>
              </w:rPr>
              <w:t>Bid-rotation cartel</w:t>
            </w:r>
          </w:p>
        </w:tc>
        <w:tc>
          <w:tcPr>
            <w:tcW w:type="dxa" w:w="532"/>
          </w:tcPr>
          <w:p>
            <w:pPr>
              <w:keepNext/>
              <w:spacing w:after="20"/>
            </w:pPr>
            <w:r>
              <w:rPr>
                <w:b/>
                <w:sz w:val="16"/>
              </w:rPr>
              <w:t>Honest</w:t>
            </w:r>
          </w:p>
        </w:tc>
      </w:tr>
      <w:tr>
        <w:trPr>
          <w:cantSplit/>
        </w:trPr>
        <w:tc>
          <w:tcPr>
            <w:tcW w:type="dxa" w:w="3361"/>
          </w:tcPr>
          <w:p>
            <w:pPr>
              <w:keepNext/>
              <w:spacing w:after="20"/>
            </w:pPr>
            <w:r>
              <w:rPr>
                <w:sz w:val="16"/>
              </w:rPr>
              <w:t>Joint (run first, reported)</w:t>
            </w:r>
          </w:p>
        </w:tc>
        <w:tc>
          <w:tcPr>
            <w:tcW w:type="dxa" w:w="1237"/>
          </w:tcPr>
          <w:p>
            <w:pPr>
              <w:keepNext/>
              <w:spacing w:after="20"/>
            </w:pPr>
            <w:r>
              <w:rPr>
                <w:sz w:val="16"/>
              </w:rPr>
              <w:t>82.5%</w:t>
            </w:r>
          </w:p>
        </w:tc>
        <w:tc>
          <w:tcPr>
            <w:tcW w:type="dxa" w:w="1410"/>
          </w:tcPr>
          <w:p>
            <w:pPr>
              <w:keepNext/>
              <w:spacing w:after="20"/>
            </w:pPr>
            <w:r>
              <w:rPr>
                <w:sz w:val="16"/>
              </w:rPr>
              <w:t>0.0%</w:t>
            </w:r>
          </w:p>
        </w:tc>
        <w:tc>
          <w:tcPr>
            <w:tcW w:type="dxa" w:w="1237"/>
          </w:tcPr>
          <w:p>
            <w:pPr>
              <w:keepNext/>
              <w:spacing w:after="20"/>
            </w:pPr>
            <w:r>
              <w:rPr>
                <w:sz w:val="16"/>
              </w:rPr>
              <w:t>45.0%</w:t>
            </w:r>
          </w:p>
        </w:tc>
        <w:tc>
          <w:tcPr>
            <w:tcW w:type="dxa" w:w="1295"/>
          </w:tcPr>
          <w:p>
            <w:pPr>
              <w:keepNext/>
              <w:spacing w:after="20"/>
            </w:pPr>
            <w:r>
              <w:rPr>
                <w:sz w:val="16"/>
              </w:rPr>
              <w:t>5.0%</w:t>
            </w:r>
          </w:p>
        </w:tc>
        <w:tc>
          <w:tcPr>
            <w:tcW w:type="dxa" w:w="532"/>
          </w:tcPr>
          <w:p>
            <w:pPr>
              <w:keepNext/>
              <w:spacing w:after="20"/>
            </w:pPr>
            <w:r>
              <w:rPr>
                <w:sz w:val="16"/>
              </w:rPr>
              <w:t>0.1%</w:t>
            </w:r>
          </w:p>
        </w:tc>
      </w:tr>
      <w:tr>
        <w:trPr>
          <w:cantSplit/>
        </w:trPr>
        <w:tc>
          <w:tcPr>
            <w:tcW w:type="dxa" w:w="3361"/>
          </w:tcPr>
          <w:p>
            <w:pPr>
              <w:keepNext/>
              <w:spacing w:after="20"/>
            </w:pPr>
            <w:r>
              <w:rPr>
                <w:sz w:val="16"/>
              </w:rPr>
              <w:t>Interaction (after the results)</w:t>
            </w:r>
          </w:p>
        </w:tc>
        <w:tc>
          <w:tcPr>
            <w:tcW w:type="dxa" w:w="1237"/>
          </w:tcPr>
          <w:p>
            <w:pPr>
              <w:keepNext/>
              <w:spacing w:after="20"/>
            </w:pPr>
            <w:r>
              <w:rPr>
                <w:sz w:val="16"/>
              </w:rPr>
              <w:t>62.5%</w:t>
            </w:r>
          </w:p>
        </w:tc>
        <w:tc>
          <w:tcPr>
            <w:tcW w:type="dxa" w:w="1410"/>
          </w:tcPr>
          <w:p>
            <w:pPr>
              <w:keepNext/>
              <w:spacing w:after="20"/>
            </w:pPr>
            <w:r>
              <w:rPr>
                <w:sz w:val="16"/>
              </w:rPr>
              <w:t>0.0%</w:t>
            </w:r>
          </w:p>
        </w:tc>
        <w:tc>
          <w:tcPr>
            <w:tcW w:type="dxa" w:w="1237"/>
          </w:tcPr>
          <w:p>
            <w:pPr>
              <w:keepNext/>
              <w:spacing w:after="20"/>
            </w:pPr>
            <w:r>
              <w:rPr>
                <w:sz w:val="16"/>
              </w:rPr>
              <w:t>67.5%</w:t>
            </w:r>
          </w:p>
        </w:tc>
        <w:tc>
          <w:tcPr>
            <w:tcW w:type="dxa" w:w="1295"/>
          </w:tcPr>
          <w:p>
            <w:pPr>
              <w:keepNext/>
              <w:spacing w:after="20"/>
            </w:pPr>
            <w:r>
              <w:rPr>
                <w:sz w:val="16"/>
              </w:rPr>
              <w:t>7.5%</w:t>
            </w:r>
          </w:p>
        </w:tc>
        <w:tc>
          <w:tcPr>
            <w:tcW w:type="dxa" w:w="532"/>
          </w:tcPr>
          <w:p>
            <w:pPr>
              <w:keepNext/>
              <w:spacing w:after="20"/>
            </w:pPr>
            <w:r>
              <w:rPr>
                <w:sz w:val="16"/>
              </w:rPr>
              <w:t>0.0%</w:t>
            </w:r>
          </w:p>
        </w:tc>
      </w:tr>
      <w:tr>
        <w:trPr>
          <w:cantSplit/>
        </w:trPr>
        <w:tc>
          <w:tcPr>
            <w:tcW w:type="dxa" w:w="3361"/>
          </w:tcPr>
          <w:p>
            <w:pPr>
              <w:keepNext/>
              <w:spacing w:after="20"/>
            </w:pPr>
            <w:r>
              <w:rPr>
                <w:sz w:val="16"/>
              </w:rPr>
              <w:t>Mixture (after the results)</w:t>
            </w:r>
          </w:p>
        </w:tc>
        <w:tc>
          <w:tcPr>
            <w:tcW w:type="dxa" w:w="1237"/>
          </w:tcPr>
          <w:p>
            <w:pPr>
              <w:keepNext/>
              <w:spacing w:after="20"/>
            </w:pPr>
            <w:r>
              <w:rPr>
                <w:sz w:val="16"/>
              </w:rPr>
              <w:t>80.0%</w:t>
            </w:r>
          </w:p>
        </w:tc>
        <w:tc>
          <w:tcPr>
            <w:tcW w:type="dxa" w:w="1410"/>
          </w:tcPr>
          <w:p>
            <w:pPr>
              <w:keepNext/>
              <w:spacing w:after="20"/>
            </w:pPr>
            <w:r>
              <w:rPr>
                <w:sz w:val="16"/>
              </w:rPr>
              <w:t>0.0%</w:t>
            </w:r>
          </w:p>
        </w:tc>
        <w:tc>
          <w:tcPr>
            <w:tcW w:type="dxa" w:w="1237"/>
          </w:tcPr>
          <w:p>
            <w:pPr>
              <w:keepNext/>
              <w:spacing w:after="20"/>
            </w:pPr>
            <w:r>
              <w:rPr>
                <w:sz w:val="16"/>
              </w:rPr>
              <w:t>65.0%</w:t>
            </w:r>
          </w:p>
        </w:tc>
        <w:tc>
          <w:tcPr>
            <w:tcW w:type="dxa" w:w="1295"/>
          </w:tcPr>
          <w:p>
            <w:pPr>
              <w:keepNext/>
              <w:spacing w:after="20"/>
            </w:pPr>
            <w:r>
              <w:rPr>
                <w:sz w:val="16"/>
              </w:rPr>
              <w:t>2.5%</w:t>
            </w:r>
          </w:p>
        </w:tc>
        <w:tc>
          <w:tcPr>
            <w:tcW w:type="dxa" w:w="532"/>
          </w:tcPr>
          <w:p>
            <w:pPr>
              <w:keepNext/>
              <w:spacing w:after="20"/>
            </w:pPr>
            <w:r>
              <w:rPr>
                <w:sz w:val="16"/>
              </w:rPr>
              <w:t>0.0%</w:t>
            </w:r>
          </w:p>
        </w:tc>
      </w:tr>
      <w:tr>
        <w:trPr>
          <w:cantSplit/>
        </w:trPr>
        <w:tc>
          <w:tcPr>
            <w:tcW w:type="dxa" w:w="3361"/>
          </w:tcPr>
          <w:p>
            <w:pPr>
              <w:keepNext w:val="0"/>
              <w:spacing w:after="20"/>
            </w:pPr>
            <w:r>
              <w:rPr>
                <w:sz w:val="16"/>
              </w:rPr>
              <w:t>Fixed-horizon test (pre-registered)</w:t>
            </w:r>
          </w:p>
        </w:tc>
        <w:tc>
          <w:tcPr>
            <w:tcW w:type="dxa" w:w="1237"/>
          </w:tcPr>
          <w:p>
            <w:pPr>
              <w:keepNext w:val="0"/>
              <w:spacing w:after="20"/>
            </w:pPr>
            <w:r>
              <w:rPr>
                <w:sz w:val="16"/>
              </w:rPr>
              <w:t>35%</w:t>
            </w:r>
          </w:p>
        </w:tc>
        <w:tc>
          <w:tcPr>
            <w:tcW w:type="dxa" w:w="1410"/>
          </w:tcPr>
          <w:p>
            <w:pPr>
              <w:keepNext w:val="0"/>
              <w:spacing w:after="20"/>
            </w:pPr>
            <w:r>
              <w:rPr>
                <w:sz w:val="16"/>
              </w:rPr>
              <w:t>10%</w:t>
            </w:r>
          </w:p>
        </w:tc>
        <w:tc>
          <w:tcPr>
            <w:tcW w:type="dxa" w:w="1237"/>
          </w:tcPr>
          <w:p>
            <w:pPr>
              <w:keepNext w:val="0"/>
              <w:spacing w:after="20"/>
            </w:pPr>
            <w:r>
              <w:rPr>
                <w:sz w:val="16"/>
              </w:rPr>
              <w:t>92.5%</w:t>
            </w:r>
          </w:p>
        </w:tc>
        <w:tc>
          <w:tcPr>
            <w:tcW w:type="dxa" w:w="1295"/>
          </w:tcPr>
          <w:p>
            <w:pPr>
              <w:keepNext w:val="0"/>
              <w:spacing w:after="20"/>
            </w:pPr>
            <w:r>
              <w:rPr>
                <w:sz w:val="16"/>
              </w:rPr>
              <w:t>57.5%</w:t>
            </w:r>
          </w:p>
        </w:tc>
        <w:tc>
          <w:tcPr>
            <w:tcW w:type="dxa" w:w="532"/>
          </w:tcPr>
          <w:p>
            <w:pPr>
              <w:keepNext w:val="0"/>
              <w:spacing w:after="20"/>
            </w:pPr>
            <w:r>
              <w:rPr>
                <w:sz w:val="16"/>
              </w:rPr>
              <w:t>3.5%</w:t>
            </w:r>
          </w:p>
        </w:tc>
      </w:tr>
    </w:tbl>
    <w:p>
      <w:pPr>
        <w:spacing w:after="80" w:before="0"/>
      </w:pPr>
    </w:p>
    <w:p>
      <w:pPr>
        <w:keepNext/>
        <w:spacing w:after="40" w:before="0"/>
        <w:jc w:val="center"/>
      </w:pPr>
      <w:r>
        <w:drawing>
          <wp:inline>
            <wp:extent cx="4297680" cy="2094208"/>
            <wp:docPr id="7" name="Picture 7"/>
            <wp:cNvGraphicFramePr>
              <a:graphicFrameLocks noChangeAspect="1"/>
            </wp:cNvGraphicFramePr>
            <a:graphic>
              <a:graphicData uri="http://schemas.openxmlformats.org/drawingml/2006/picture">
                <pic:pic>
                  <pic:nvPicPr>
                    <pic:cNvPr id="0" name="p_figA3_power.png"/>
                    <pic:cNvPicPr/>
                  </pic:nvPicPr>
                  <pic:blipFill>
                    <a:blip r:embed="rId14"/>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named that pair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The Haiku judge flags 8.7% of honest Haiku games from actions alone; a stronger reasoning judge (GPT-6.1 Sol, 20 games per condition) flags 90% of Haiku secret-plan games but also 26.3% of honest ones. Table A5 shows one real pooled-data-vendor game.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701"/>
        <w:gridCol w:w="960"/>
        <w:gridCol w:w="960"/>
        <w:gridCol w:w="1226"/>
        <w:gridCol w:w="1226"/>
      </w:tblGrid>
      <w:tr>
        <w:trPr>
          <w:cantSplit/>
        </w:trPr>
        <w:tc>
          <w:tcPr>
            <w:tcW w:type="dxa" w:w="4701"/>
          </w:tcPr>
          <w:p>
            <w:pPr>
              <w:keepNext/>
              <w:spacing w:after="20"/>
            </w:pPr>
            <w:r>
              <w:rPr>
                <w:b/>
                <w:sz w:val="16"/>
              </w:rPr>
              <w:t>Detector</w:t>
            </w:r>
          </w:p>
        </w:tc>
        <w:tc>
          <w:tcPr>
            <w:tcW w:type="dxa" w:w="960"/>
          </w:tcPr>
          <w:p>
            <w:pPr>
              <w:keepNext/>
              <w:spacing w:after="20"/>
            </w:pPr>
            <w:r>
              <w:rPr>
                <w:b/>
                <w:sz w:val="16"/>
              </w:rPr>
              <w:t>Haiku, 1%</w:t>
            </w:r>
          </w:p>
        </w:tc>
        <w:tc>
          <w:tcPr>
            <w:tcW w:type="dxa" w:w="960"/>
          </w:tcPr>
          <w:p>
            <w:pPr>
              <w:keepNext/>
              <w:spacing w:after="20"/>
            </w:pPr>
            <w:r>
              <w:rPr>
                <w:b/>
                <w:sz w:val="16"/>
              </w:rPr>
              <w:t>Haiku, 5%</w:t>
            </w:r>
          </w:p>
        </w:tc>
        <w:tc>
          <w:tcPr>
            <w:tcW w:type="dxa" w:w="1226"/>
          </w:tcPr>
          <w:p>
            <w:pPr>
              <w:keepNext/>
              <w:spacing w:after="20"/>
            </w:pPr>
            <w:r>
              <w:rPr>
                <w:b/>
                <w:sz w:val="16"/>
              </w:rPr>
              <w:t>DeepSeek, 1%</w:t>
            </w:r>
          </w:p>
        </w:tc>
        <w:tc>
          <w:tcPr>
            <w:tcW w:type="dxa" w:w="1226"/>
          </w:tcPr>
          <w:p>
            <w:pPr>
              <w:keepNext/>
              <w:spacing w:after="20"/>
            </w:pPr>
            <w:r>
              <w:rPr>
                <w:b/>
                <w:sz w:val="16"/>
              </w:rPr>
              <w:t>DeepSeek, 5%</w:t>
            </w:r>
          </w:p>
        </w:tc>
      </w:tr>
      <w:tr>
        <w:trPr>
          <w:cantSplit/>
        </w:trPr>
        <w:tc>
          <w:tcPr>
            <w:tcW w:type="dxa" w:w="4701"/>
          </w:tcPr>
          <w:p>
            <w:pPr>
              <w:keepNext/>
              <w:spacing w:after="20"/>
            </w:pPr>
            <w:r>
              <w:rPr>
                <w:sz w:val="16"/>
              </w:rPr>
              <w:t>Replay test (fixed, pre-registered)</w:t>
            </w:r>
          </w:p>
        </w:tc>
        <w:tc>
          <w:tcPr>
            <w:tcW w:type="dxa" w:w="960"/>
          </w:tcPr>
          <w:p>
            <w:pPr>
              <w:keepNext/>
              <w:spacing w:after="20"/>
            </w:pPr>
            <w:r>
              <w:rPr>
                <w:sz w:val="16"/>
              </w:rPr>
              <w:t>30%</w:t>
            </w:r>
          </w:p>
        </w:tc>
        <w:tc>
          <w:tcPr>
            <w:tcW w:type="dxa" w:w="960"/>
          </w:tcPr>
          <w:p>
            <w:pPr>
              <w:keepNext/>
              <w:spacing w:after="20"/>
            </w:pPr>
            <w:r>
              <w:rPr>
                <w:sz w:val="16"/>
              </w:rPr>
              <w:t>42%</w:t>
            </w:r>
          </w:p>
        </w:tc>
        <w:tc>
          <w:tcPr>
            <w:tcW w:type="dxa" w:w="1226"/>
          </w:tcPr>
          <w:p>
            <w:pPr>
              <w:keepNext/>
              <w:spacing w:after="20"/>
            </w:pPr>
            <w:r>
              <w:rPr>
                <w:sz w:val="16"/>
              </w:rPr>
              <w:t>5%</w:t>
            </w:r>
          </w:p>
        </w:tc>
        <w:tc>
          <w:tcPr>
            <w:tcW w:type="dxa" w:w="1226"/>
          </w:tcPr>
          <w:p>
            <w:pPr>
              <w:keepNext/>
              <w:spacing w:after="20"/>
            </w:pPr>
            <w:r>
              <w:rPr>
                <w:sz w:val="16"/>
              </w:rPr>
              <w:t>18%</w:t>
            </w:r>
          </w:p>
        </w:tc>
      </w:tr>
      <w:tr>
        <w:trPr>
          <w:cantSplit/>
        </w:trPr>
        <w:tc>
          <w:tcPr>
            <w:tcW w:type="dxa" w:w="4701"/>
          </w:tcPr>
          <w:p>
            <w:pPr>
              <w:keepNext/>
              <w:spacing w:after="20"/>
            </w:pPr>
            <w:r>
              <w:rPr>
                <w:sz w:val="16"/>
              </w:rPr>
              <w:t>Mutual information + shuffle</w:t>
            </w:r>
          </w:p>
        </w:tc>
        <w:tc>
          <w:tcPr>
            <w:tcW w:type="dxa" w:w="960"/>
          </w:tcPr>
          <w:p>
            <w:pPr>
              <w:keepNext/>
              <w:spacing w:after="20"/>
            </w:pPr>
            <w:r>
              <w:rPr>
                <w:sz w:val="16"/>
              </w:rPr>
              <w:t>0%</w:t>
            </w:r>
          </w:p>
        </w:tc>
        <w:tc>
          <w:tcPr>
            <w:tcW w:type="dxa" w:w="960"/>
          </w:tcPr>
          <w:p>
            <w:pPr>
              <w:keepNext/>
              <w:spacing w:after="20"/>
            </w:pPr>
            <w:r>
              <w:rPr>
                <w:sz w:val="16"/>
              </w:rPr>
              <w:t>0%</w:t>
            </w:r>
          </w:p>
        </w:tc>
        <w:tc>
          <w:tcPr>
            <w:tcW w:type="dxa" w:w="1226"/>
          </w:tcPr>
          <w:p>
            <w:pPr>
              <w:keepNext/>
              <w:spacing w:after="20"/>
            </w:pPr>
            <w:r>
              <w:rPr>
                <w:sz w:val="16"/>
              </w:rPr>
              <w:t>8%</w:t>
            </w:r>
          </w:p>
        </w:tc>
        <w:tc>
          <w:tcPr>
            <w:tcW w:type="dxa" w:w="1226"/>
          </w:tcPr>
          <w:p>
            <w:pPr>
              <w:keepNext/>
              <w:spacing w:after="20"/>
            </w:pPr>
            <w:r>
              <w:rPr>
                <w:sz w:val="16"/>
              </w:rPr>
              <w:t>8%</w:t>
            </w:r>
          </w:p>
        </w:tc>
      </w:tr>
      <w:tr>
        <w:trPr>
          <w:cantSplit/>
        </w:trPr>
        <w:tc>
          <w:tcPr>
            <w:tcW w:type="dxa" w:w="4701"/>
          </w:tcPr>
          <w:p>
            <w:pPr>
              <w:keepNext/>
              <w:spacing w:after="20"/>
            </w:pPr>
            <w:r>
              <w:rPr>
                <w:sz w:val="16"/>
              </w:rPr>
              <w:t>LLM judge (Claude Haiku)</w:t>
            </w:r>
          </w:p>
        </w:tc>
        <w:tc>
          <w:tcPr>
            <w:tcW w:type="dxa" w:w="960"/>
          </w:tcPr>
          <w:p>
            <w:pPr>
              <w:keepNext/>
              <w:spacing w:after="20"/>
            </w:pPr>
            <w:r>
              <w:rPr>
                <w:sz w:val="16"/>
              </w:rPr>
              <w:t>20%</w:t>
            </w:r>
          </w:p>
        </w:tc>
        <w:tc>
          <w:tcPr>
            <w:tcW w:type="dxa" w:w="960"/>
          </w:tcPr>
          <w:p>
            <w:pPr>
              <w:keepNext/>
              <w:spacing w:after="20"/>
            </w:pPr>
            <w:r>
              <w:rPr>
                <w:sz w:val="16"/>
              </w:rPr>
              <w:t>38%</w:t>
            </w:r>
          </w:p>
        </w:tc>
        <w:tc>
          <w:tcPr>
            <w:tcW w:type="dxa" w:w="1226"/>
          </w:tcPr>
          <w:p>
            <w:pPr>
              <w:keepNext/>
              <w:spacing w:after="20"/>
            </w:pPr>
            <w:r>
              <w:rPr>
                <w:sz w:val="16"/>
              </w:rPr>
              <w:t>0%</w:t>
            </w:r>
          </w:p>
        </w:tc>
        <w:tc>
          <w:tcPr>
            <w:tcW w:type="dxa" w:w="1226"/>
          </w:tcPr>
          <w:p>
            <w:pPr>
              <w:keepNext/>
              <w:spacing w:after="20"/>
            </w:pPr>
            <w:r>
              <w:rPr>
                <w:sz w:val="16"/>
              </w:rPr>
              <w:t>8%</w:t>
            </w:r>
          </w:p>
        </w:tc>
      </w:tr>
      <w:tr>
        <w:trPr>
          <w:cantSplit/>
        </w:trPr>
        <w:tc>
          <w:tcPr>
            <w:tcW w:type="dxa" w:w="4701"/>
          </w:tcPr>
          <w:p>
            <w:pPr>
              <w:keepNext w:val="0"/>
              <w:spacing w:after="20"/>
            </w:pPr>
            <w:r>
              <w:rPr>
                <w:sz w:val="16"/>
              </w:rPr>
              <w:t>LLM judge (GPT-6.1 Sol)</w:t>
            </w:r>
          </w:p>
        </w:tc>
        <w:tc>
          <w:tcPr>
            <w:tcW w:type="dxa" w:w="960"/>
          </w:tcPr>
          <w:p>
            <w:pPr>
              <w:keepNext w:val="0"/>
              <w:spacing w:after="20"/>
            </w:pPr>
            <w:r>
              <w:rPr>
                <w:sz w:val="16"/>
              </w:rPr>
              <w:t>0%</w:t>
            </w:r>
          </w:p>
        </w:tc>
        <w:tc>
          <w:tcPr>
            <w:tcW w:type="dxa" w:w="960"/>
          </w:tcPr>
          <w:p>
            <w:pPr>
              <w:keepNext w:val="0"/>
              <w:spacing w:after="20"/>
            </w:pPr>
            <w:r>
              <w:rPr>
                <w:sz w:val="16"/>
              </w:rPr>
              <w:t>0%</w:t>
            </w:r>
          </w:p>
        </w:tc>
        <w:tc>
          <w:tcPr>
            <w:tcW w:type="dxa" w:w="1226"/>
          </w:tcPr>
          <w:p>
            <w:pPr>
              <w:keepNext w:val="0"/>
              <w:spacing w:after="20"/>
            </w:pPr>
            <w:r>
              <w:rPr>
                <w:sz w:val="16"/>
              </w:rPr>
              <w:t>0%</w:t>
            </w:r>
          </w:p>
        </w:tc>
        <w:tc>
          <w:tcPr>
            <w:tcW w:type="dxa" w:w="1226"/>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11"/>
        <w:gridCol w:w="2432"/>
        <w:gridCol w:w="1576"/>
        <w:gridCol w:w="2673"/>
        <w:gridCol w:w="1680"/>
      </w:tblGrid>
      <w:tr>
        <w:trPr>
          <w:cantSplit/>
        </w:trPr>
        <w:tc>
          <w:tcPr>
            <w:tcW w:type="dxa" w:w="711"/>
          </w:tcPr>
          <w:p>
            <w:pPr>
              <w:keepNext/>
              <w:spacing w:after="20"/>
            </w:pPr>
            <w:r>
              <w:rPr>
                <w:b/>
                <w:sz w:val="16"/>
              </w:rPr>
              <w:t>Round</w:t>
            </w:r>
          </w:p>
        </w:tc>
        <w:tc>
          <w:tcPr>
            <w:tcW w:type="dxa" w:w="2432"/>
          </w:tcPr>
          <w:p>
            <w:pPr>
              <w:keepNext/>
              <w:spacing w:after="20"/>
            </w:pPr>
            <w:r>
              <w:rPr>
                <w:b/>
                <w:sz w:val="16"/>
              </w:rPr>
              <w:t>Costs P1 / P2 / P3 / P4</w:t>
            </w:r>
          </w:p>
        </w:tc>
        <w:tc>
          <w:tcPr>
            <w:tcW w:type="dxa" w:w="1576"/>
          </w:tcPr>
          <w:p>
            <w:pPr>
              <w:keepNext/>
              <w:spacing w:after="20"/>
            </w:pPr>
            <w:r>
              <w:rPr>
                <w:b/>
                <w:sz w:val="16"/>
              </w:rPr>
              <w:t>Vendor designates</w:t>
            </w:r>
          </w:p>
        </w:tc>
        <w:tc>
          <w:tcPr>
            <w:tcW w:type="dxa" w:w="2673"/>
          </w:tcPr>
          <w:p>
            <w:pPr>
              <w:keepNext/>
              <w:spacing w:after="20"/>
            </w:pPr>
            <w:r>
              <w:rPr>
                <w:b/>
                <w:sz w:val="16"/>
              </w:rPr>
              <w:t>Bids P1 / P2 / P3 / P4</w:t>
            </w:r>
          </w:p>
        </w:tc>
        <w:tc>
          <w:tcPr>
            <w:tcW w:type="dxa" w:w="1680"/>
          </w:tcPr>
          <w:p>
            <w:pPr>
              <w:keepNext/>
              <w:spacing w:after="20"/>
            </w:pPr>
            <w:r>
              <w:rPr>
                <w:b/>
                <w:sz w:val="16"/>
              </w:rPr>
              <w:t>Lowest bid</w:t>
            </w:r>
          </w:p>
        </w:tc>
      </w:tr>
      <w:tr>
        <w:trPr>
          <w:cantSplit/>
        </w:trPr>
        <w:tc>
          <w:tcPr>
            <w:tcW w:type="dxa" w:w="711"/>
          </w:tcPr>
          <w:p>
            <w:pPr>
              <w:keepNext/>
              <w:spacing w:after="20"/>
            </w:pPr>
            <w:r>
              <w:rPr>
                <w:sz w:val="16"/>
              </w:rPr>
              <w:t>1</w:t>
            </w:r>
          </w:p>
        </w:tc>
        <w:tc>
          <w:tcPr>
            <w:tcW w:type="dxa" w:w="2432"/>
          </w:tcPr>
          <w:p>
            <w:pPr>
              <w:keepNext/>
              <w:spacing w:after="20"/>
            </w:pPr>
            <w:r>
              <w:rPr>
                <w:sz w:val="16"/>
              </w:rPr>
              <w:t>70 / 50 / 70 / 60</w:t>
            </w:r>
          </w:p>
        </w:tc>
        <w:tc>
          <w:tcPr>
            <w:tcW w:type="dxa" w:w="1576"/>
          </w:tcPr>
          <w:p>
            <w:pPr>
              <w:keepNext/>
              <w:spacing w:after="20"/>
            </w:pPr>
            <w:r>
              <w:rPr>
                <w:sz w:val="16"/>
              </w:rPr>
              <w:t>P1</w:t>
            </w:r>
          </w:p>
        </w:tc>
        <w:tc>
          <w:tcPr>
            <w:tcW w:type="dxa" w:w="2673"/>
          </w:tcPr>
          <w:p>
            <w:pPr>
              <w:keepNext/>
              <w:spacing w:after="20"/>
            </w:pPr>
            <w:r>
              <w:rPr>
                <w:b/>
                <w:sz w:val="16"/>
              </w:rPr>
              <w:t>90</w:t>
            </w:r>
            <w:r>
              <w:rPr>
                <w:sz w:val="16"/>
              </w:rPr>
              <w:t xml:space="preserve"> / 60 / </w:t>
            </w:r>
            <w:r>
              <w:rPr>
                <w:b/>
                <w:sz w:val="16"/>
              </w:rPr>
              <w:t>100</w:t>
            </w:r>
            <w:r>
              <w:rPr>
                <w:sz w:val="16"/>
              </w:rPr>
              <w:t xml:space="preserve"> / 60</w:t>
            </w:r>
          </w:p>
        </w:tc>
        <w:tc>
          <w:tcPr>
            <w:tcW w:type="dxa" w:w="1680"/>
          </w:tcPr>
          <w:p>
            <w:pPr>
              <w:keepNext/>
              <w:spacing w:after="20"/>
            </w:pPr>
            <w:r>
              <w:rPr>
                <w:sz w:val="16"/>
              </w:rPr>
              <w:t>60 (P2, P4)</w:t>
            </w:r>
          </w:p>
        </w:tc>
      </w:tr>
      <w:tr>
        <w:trPr>
          <w:cantSplit/>
        </w:trPr>
        <w:tc>
          <w:tcPr>
            <w:tcW w:type="dxa" w:w="711"/>
          </w:tcPr>
          <w:p>
            <w:pPr>
              <w:keepNext/>
              <w:spacing w:after="20"/>
            </w:pPr>
            <w:r>
              <w:rPr>
                <w:sz w:val="16"/>
              </w:rPr>
              <w:t>2</w:t>
            </w:r>
          </w:p>
        </w:tc>
        <w:tc>
          <w:tcPr>
            <w:tcW w:type="dxa" w:w="2432"/>
          </w:tcPr>
          <w:p>
            <w:pPr>
              <w:keepNext/>
              <w:spacing w:after="20"/>
            </w:pPr>
            <w:r>
              <w:rPr>
                <w:sz w:val="16"/>
              </w:rPr>
              <w:t>70 / 50 / 50 / 70</w:t>
            </w:r>
          </w:p>
        </w:tc>
        <w:tc>
          <w:tcPr>
            <w:tcW w:type="dxa" w:w="1576"/>
          </w:tcPr>
          <w:p>
            <w:pPr>
              <w:keepNext/>
              <w:spacing w:after="20"/>
            </w:pPr>
            <w:r>
              <w:rPr>
                <w:sz w:val="16"/>
              </w:rPr>
              <w:t>P3</w:t>
            </w:r>
          </w:p>
        </w:tc>
        <w:tc>
          <w:tcPr>
            <w:tcW w:type="dxa" w:w="2673"/>
          </w:tcPr>
          <w:p>
            <w:pPr>
              <w:keepNext/>
              <w:spacing w:after="20"/>
            </w:pPr>
            <w:r>
              <w:rPr>
                <w:b/>
                <w:sz w:val="16"/>
              </w:rPr>
              <w:t>100</w:t>
            </w:r>
            <w:r>
              <w:rPr>
                <w:sz w:val="16"/>
              </w:rPr>
              <w:t xml:space="preserve"> / 60 / </w:t>
            </w:r>
            <w:r>
              <w:rPr>
                <w:b/>
                <w:sz w:val="16"/>
              </w:rPr>
              <w:t>70</w:t>
            </w:r>
            <w:r>
              <w:rPr>
                <w:sz w:val="16"/>
              </w:rPr>
              <w:t xml:space="preserve"> / 70</w:t>
            </w:r>
          </w:p>
        </w:tc>
        <w:tc>
          <w:tcPr>
            <w:tcW w:type="dxa" w:w="1680"/>
          </w:tcPr>
          <w:p>
            <w:pPr>
              <w:keepNext/>
              <w:spacing w:after="20"/>
            </w:pPr>
            <w:r>
              <w:rPr>
                <w:sz w:val="16"/>
              </w:rPr>
              <w:t>60 (P2)</w:t>
            </w:r>
          </w:p>
        </w:tc>
      </w:tr>
      <w:tr>
        <w:trPr>
          <w:cantSplit/>
        </w:trPr>
        <w:tc>
          <w:tcPr>
            <w:tcW w:type="dxa" w:w="711"/>
          </w:tcPr>
          <w:p>
            <w:pPr>
              <w:keepNext/>
              <w:spacing w:after="20"/>
            </w:pPr>
            <w:r>
              <w:rPr>
                <w:sz w:val="16"/>
              </w:rPr>
              <w:t>3</w:t>
            </w:r>
          </w:p>
        </w:tc>
        <w:tc>
          <w:tcPr>
            <w:tcW w:type="dxa" w:w="2432"/>
          </w:tcPr>
          <w:p>
            <w:pPr>
              <w:keepNext/>
              <w:spacing w:after="20"/>
            </w:pPr>
            <w:r>
              <w:rPr>
                <w:sz w:val="16"/>
              </w:rPr>
              <w:t>60 / 70 / 70 / 70</w:t>
            </w:r>
          </w:p>
        </w:tc>
        <w:tc>
          <w:tcPr>
            <w:tcW w:type="dxa" w:w="1576"/>
          </w:tcPr>
          <w:p>
            <w:pPr>
              <w:keepNext/>
              <w:spacing w:after="20"/>
            </w:pPr>
            <w:r>
              <w:rPr>
                <w:sz w:val="16"/>
              </w:rPr>
              <w:t>P1</w:t>
            </w:r>
          </w:p>
        </w:tc>
        <w:tc>
          <w:tcPr>
            <w:tcW w:type="dxa" w:w="2673"/>
          </w:tcPr>
          <w:p>
            <w:pPr>
              <w:keepNext/>
              <w:spacing w:after="20"/>
            </w:pPr>
            <w:r>
              <w:rPr>
                <w:b/>
                <w:sz w:val="16"/>
              </w:rPr>
              <w:t>80</w:t>
            </w:r>
            <w:r>
              <w:rPr>
                <w:sz w:val="16"/>
              </w:rPr>
              <w:t xml:space="preserve"> / 100 / </w:t>
            </w:r>
            <w:r>
              <w:rPr>
                <w:b/>
                <w:sz w:val="16"/>
              </w:rPr>
              <w:t>100</w:t>
            </w:r>
            <w:r>
              <w:rPr>
                <w:sz w:val="16"/>
              </w:rPr>
              <w:t xml:space="preserve"> / 70</w:t>
            </w:r>
          </w:p>
        </w:tc>
        <w:tc>
          <w:tcPr>
            <w:tcW w:type="dxa" w:w="1680"/>
          </w:tcPr>
          <w:p>
            <w:pPr>
              <w:keepNext/>
              <w:spacing w:after="20"/>
            </w:pPr>
            <w:r>
              <w:rPr>
                <w:sz w:val="16"/>
              </w:rPr>
              <w:t>70 (P4)</w:t>
            </w:r>
          </w:p>
        </w:tc>
      </w:tr>
      <w:tr>
        <w:trPr>
          <w:cantSplit/>
        </w:trPr>
        <w:tc>
          <w:tcPr>
            <w:tcW w:type="dxa" w:w="711"/>
          </w:tcPr>
          <w:p>
            <w:pPr>
              <w:keepNext w:val="0"/>
              <w:spacing w:after="20"/>
            </w:pPr>
            <w:r>
              <w:rPr>
                <w:sz w:val="16"/>
              </w:rPr>
              <w:t>4</w:t>
            </w:r>
          </w:p>
        </w:tc>
        <w:tc>
          <w:tcPr>
            <w:tcW w:type="dxa" w:w="2432"/>
          </w:tcPr>
          <w:p>
            <w:pPr>
              <w:keepNext w:val="0"/>
              <w:spacing w:after="20"/>
            </w:pPr>
            <w:r>
              <w:rPr>
                <w:sz w:val="16"/>
              </w:rPr>
              <w:t>60 / 60 / 50 / 70</w:t>
            </w:r>
          </w:p>
        </w:tc>
        <w:tc>
          <w:tcPr>
            <w:tcW w:type="dxa" w:w="1576"/>
          </w:tcPr>
          <w:p>
            <w:pPr>
              <w:keepNext w:val="0"/>
              <w:spacing w:after="20"/>
            </w:pPr>
            <w:r>
              <w:rPr>
                <w:sz w:val="16"/>
              </w:rPr>
              <w:t>P3</w:t>
            </w:r>
          </w:p>
        </w:tc>
        <w:tc>
          <w:tcPr>
            <w:tcW w:type="dxa" w:w="2673"/>
          </w:tcPr>
          <w:p>
            <w:pPr>
              <w:keepNext w:val="0"/>
              <w:spacing w:after="20"/>
            </w:pPr>
            <w:r>
              <w:rPr>
                <w:b/>
                <w:sz w:val="16"/>
              </w:rPr>
              <w:t>100</w:t>
            </w:r>
            <w:r>
              <w:rPr>
                <w:sz w:val="16"/>
              </w:rPr>
              <w:t xml:space="preserve"> / 70 / </w:t>
            </w:r>
            <w:r>
              <w:rPr>
                <w:b/>
                <w:sz w:val="16"/>
              </w:rPr>
              <w:t>70</w:t>
            </w:r>
            <w:r>
              <w:rPr>
                <w:sz w:val="16"/>
              </w:rPr>
              <w:t xml:space="preserve"> / 80</w:t>
            </w:r>
          </w:p>
        </w:tc>
        <w:tc>
          <w:tcPr>
            <w:tcW w:type="dxa" w:w="168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Pilot in the organisers'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