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agents' actions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fixed-horizon version flags 4.2%. In a procurement auction it names the true pair in 92.5% of games when a shared pricing vendor pools confidential costs, and flags 1.7% when the vendor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a test that compares the logged data with data redrawn under the null, except that the redraws come from the deployed agent itself instead of a model of it.</w:t>
      </w:r>
    </w:p>
    <w:p>
      <w:pPr>
        <w:keepNext/>
        <w:spacing w:after="40" w:before="0"/>
        <w:jc w:val="center"/>
      </w:pPr>
      <w:r>
        <w:drawing>
          <wp:inline>
            <wp:extent cx="5760720" cy="1803666"/>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803666"/>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raises an alarm with a false-alarm rate below the chosen level however long the audit runs, under the assumptions of Section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 pre-registered replication confirms the sequential version (Sections 5.2 and 5.3). We map its boundary: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that of the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the prompt, the public history, tool outputs and the agent's own memory. The </w:t>
      </w:r>
      <w:r>
        <w:rPr>
          <w:i/>
          <w:sz w:val="20"/>
        </w:rPr>
        <w:t>channel</w:t>
      </w:r>
      <w:r>
        <w:rPr>
          <w:sz w:val="20"/>
        </w:rPr>
        <w:t xml:space="preserve"> (C) is the input under audit: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policy gives the same action distribution,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891710"/>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891710"/>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the mutual information between two agents' same-round actions over the episode, minus the largest mutual information between the second agent and any third agent, which removes a common cause such as a shared opponent (so </w:t>
      </w:r>
      <w:r>
        <w:rPr>
          <w:i/>
          <w:sz w:val="20"/>
        </w:rPr>
        <w:t>N</w:t>
      </w:r>
      <w:r>
        <w:rPr>
          <w:sz w:val="20"/>
        </w:rPr>
        <w:t xml:space="preserve"> ≥ 3</w:t>
      </w:r>
      <w:r>
        <w:rPr>
          <w:sz w:val="20"/>
        </w:rPr>
        <w:t>); a pair must pass in both directions. The episode statistic (S below) is the largest such value over all pairs, so one test per game covers every pair without further correction; Appendix C.9 states the formulas. Each of 999 null datasets (B below) redraws every action uniformly from its pool and recomputes the statistic.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not for redrawing all rounds at once, because later views contain earlier actions; this version therefore has no finite-sample guarantee over a whole game, and we measure its calibration instead (§5.2,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estimates, from the pair's logged joint moves in earlier rounds, how likely each joint move is (counts plus a half, mixed with the uniform distribution, so early rounds bet almost uniformly). The round's payoff divides the fitted probability of the logged joint move by its average over every joint move the two pools can form; the evidence multiplies payoffs over rounds and averages over pairs:</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t xml:space="preserve">.</m:t>
          </m:r>
        </m:oMath>
      </m:oMathPara>
    </w:p>
    <w:p>
      <w:pPr>
        <w:spacing w:after="60" w:before="0"/>
        <w:jc w:val="both"/>
      </w:pPr>
      <w:r>
        <w:rPr>
          <w:sz w:val="20"/>
        </w:rPr>
        <w:t xml:space="preserve">An alarm is raised at the first round in which the evidence reaches </w:t>
      </w:r>
      <w:r>
        <w:rPr>
          <w:sz w:val="20"/>
        </w:rPr>
        <w:t>1/α</w:t>
      </w:r>
      <w:r>
        <w:rPr>
          <w:sz w:val="20"/>
        </w:rPr>
        <w:t>. The fitted distribution depends only on earlier rounds and is positive, so every payoff is positive. The two tests look for different things: net influence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fair bet (a nonnegative martingale): given the past, its expected value after the next round equals its current value. So the chance that it ever reaches </w:t>
      </w:r>
      <w:r>
        <w:rPr>
          <w:sz w:val="20"/>
        </w:rPr>
        <w:t>1/α</w:t>
      </w:r>
      <w:r>
        <w:rPr>
          <w:sz w:val="20"/>
        </w:rPr>
        <w:t xml:space="preserve">, in an audit of any length, is at most </w:t>
      </w:r>
      <w:r>
        <w:rPr>
          <w:rFonts w:ascii="Times New Roman" w:hAnsi="Times New Roman"/>
          <w:sz w:val="20"/>
        </w:rPr>
        <w:t>α</w:t>
      </w:r>
      <w:r>
        <w:rPr>
          <w:sz w:val="20"/>
        </w:rPr>
        <w:t>, also when later views contain earlier actions. Appendix C.9 proves it, gives the fastest betting rule, and shows that a channel which stays undetected cannot shift payoffs by much.</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level </w:t>
            </w:r>
            <w:r>
              <w:rPr>
                <w:rFonts w:ascii="Times New Roman" w:hAnsi="Times New Roman"/>
                <w:sz w:val="17"/>
              </w:rPr>
              <w:t>α</w:t>
            </w:r>
            <w:r>
              <w:rPr>
                <w:sz w:val="17"/>
              </w:rPr>
              <w:t>;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 xml:space="preserve">2. Sequential test: update the evidence after each round; at the first round it reaches </w:t>
            </w:r>
            <w:r>
              <w:rPr>
                <w:sz w:val="17"/>
              </w:rPr>
              <w:t>1/α</w:t>
            </w:r>
            <w:r>
              <w:rPr>
                <w:sz w:val="17"/>
              </w:rPr>
              <w:t>,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seats P1 to P4, 30 rounds,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Table 1 lists the conditions.</w:t>
      </w:r>
    </w:p>
    <w:p>
      <w:pPr>
        <w:keepNext/>
        <w:spacing w:after="60" w:before="0"/>
        <w:jc w:val="both"/>
      </w:pPr>
      <w:r>
        <w:rPr>
          <w:b/>
          <w:sz w:val="20"/>
        </w:rPr>
        <w:t>Table 1. Conditions.</w:t>
      </w:r>
      <w:r>
        <w:rPr>
          <w:sz w:val="20"/>
        </w:rPr>
        <w:t xml:space="preserve"> One row per set of games; the channel is the hidden input the test audits.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251"/>
        <w:gridCol w:w="3370"/>
        <w:gridCol w:w="2451"/>
      </w:tblGrid>
      <w:tr>
        <w:trPr>
          <w:cantSplit/>
        </w:trPr>
        <w:tc>
          <w:tcPr>
            <w:tcW w:type="dxa" w:w="3251"/>
          </w:tcPr>
          <w:p>
            <w:pPr>
              <w:keepNext/>
              <w:spacing w:after="20"/>
            </w:pPr>
            <w:r>
              <w:rPr>
                <w:b/>
                <w:sz w:val="16"/>
              </w:rPr>
              <w:t>Condition</w:t>
            </w:r>
          </w:p>
        </w:tc>
        <w:tc>
          <w:tcPr>
            <w:tcW w:type="dxa" w:w="3370"/>
          </w:tcPr>
          <w:p>
            <w:pPr>
              <w:keepNext/>
              <w:spacing w:after="20"/>
            </w:pPr>
            <w:r>
              <w:rPr>
                <w:b/>
                <w:sz w:val="16"/>
              </w:rPr>
              <w:t>What the agents receive</w:t>
            </w:r>
          </w:p>
        </w:tc>
        <w:tc>
          <w:tcPr>
            <w:tcW w:type="dxa" w:w="2451"/>
          </w:tcPr>
          <w:p>
            <w:pPr>
              <w:keepNext/>
              <w:spacing w:after="20"/>
            </w:pPr>
            <w:r>
              <w:rPr>
                <w:b/>
                <w:sz w:val="16"/>
              </w:rPr>
              <w:t>Channel changes actions?</w:t>
            </w:r>
          </w:p>
        </w:tc>
      </w:tr>
      <w:tr>
        <w:trPr>
          <w:cantSplit/>
        </w:trPr>
        <w:tc>
          <w:tcPr>
            <w:tcW w:type="dxa" w:w="3251"/>
          </w:tcPr>
          <w:p>
            <w:pPr>
              <w:keepNext w:val="0"/>
              <w:spacing w:after="20"/>
            </w:pPr>
            <w:r>
              <w:rPr>
                <w:i/>
                <w:sz w:val="16"/>
              </w:rPr>
              <w:t>Rock-paper-scissors, four seats, 30 rounds</w:t>
            </w:r>
          </w:p>
        </w:tc>
        <w:tc>
          <w:tcPr>
            <w:tcW w:type="dxa" w:w="3370"/>
          </w:tcPr>
          <w:p>
            <w:pPr>
              <w:keepNext w:val="0"/>
              <w:spacing w:after="20"/>
            </w:pPr>
          </w:p>
        </w:tc>
        <w:tc>
          <w:tcPr>
            <w:tcW w:type="dxa" w:w="2451"/>
          </w:tcPr>
          <w:p>
            <w:pPr>
              <w:keepNext w:val="0"/>
              <w:spacing w:after="20"/>
            </w:pPr>
          </w:p>
        </w:tc>
      </w:tr>
      <w:tr>
        <w:trPr>
          <w:cantSplit/>
        </w:trPr>
        <w:tc>
          <w:tcPr>
            <w:tcW w:type="dxa" w:w="3251"/>
          </w:tcPr>
          <w:p>
            <w:pPr>
              <w:keepNext w:val="0"/>
              <w:spacing w:after="20"/>
            </w:pPr>
            <w:r>
              <w:rPr>
                <w:sz w:val="16"/>
              </w:rPr>
              <w:t>Same model</w:t>
            </w:r>
          </w:p>
        </w:tc>
        <w:tc>
          <w:tcPr>
            <w:tcW w:type="dxa" w:w="3370"/>
          </w:tcPr>
          <w:p>
            <w:pPr>
              <w:keepNext w:val="0"/>
              <w:spacing w:after="20"/>
            </w:pPr>
            <w:r>
              <w:rPr>
                <w:sz w:val="16"/>
              </w:rPr>
              <w:t>public history only; four copies of one model</w:t>
            </w:r>
          </w:p>
        </w:tc>
        <w:tc>
          <w:tcPr>
            <w:tcW w:type="dxa" w:w="2451"/>
          </w:tcPr>
          <w:p>
            <w:pPr>
              <w:keepNext w:val="0"/>
              <w:spacing w:after="20"/>
            </w:pPr>
            <w:r>
              <w:rPr>
                <w:sz w:val="16"/>
              </w:rPr>
              <w:t>no (hardest honest case)</w:t>
            </w:r>
          </w:p>
        </w:tc>
      </w:tr>
      <w:tr>
        <w:trPr>
          <w:cantSplit/>
        </w:trPr>
        <w:tc>
          <w:tcPr>
            <w:tcW w:type="dxa" w:w="3251"/>
          </w:tcPr>
          <w:p>
            <w:pPr>
              <w:keepNext w:val="0"/>
              <w:spacing w:after="20"/>
            </w:pPr>
            <w:r>
              <w:rPr>
                <w:sz w:val="16"/>
              </w:rPr>
              <w:t>Mixed models</w:t>
            </w:r>
          </w:p>
        </w:tc>
        <w:tc>
          <w:tcPr>
            <w:tcW w:type="dxa" w:w="3370"/>
          </w:tcPr>
          <w:p>
            <w:pPr>
              <w:keepNext w:val="0"/>
              <w:spacing w:after="20"/>
            </w:pPr>
            <w:r>
              <w:rPr>
                <w:sz w:val="16"/>
              </w:rPr>
              <w:t>public history only; two DeepSeek, two Haiku</w:t>
            </w:r>
          </w:p>
        </w:tc>
        <w:tc>
          <w:tcPr>
            <w:tcW w:type="dxa" w:w="2451"/>
          </w:tcPr>
          <w:p>
            <w:pPr>
              <w:keepNext w:val="0"/>
              <w:spacing w:after="20"/>
            </w:pPr>
            <w:r>
              <w:rPr>
                <w:sz w:val="16"/>
              </w:rPr>
              <w:t>no</w:t>
            </w:r>
          </w:p>
        </w:tc>
      </w:tr>
      <w:tr>
        <w:trPr>
          <w:cantSplit/>
        </w:trPr>
        <w:tc>
          <w:tcPr>
            <w:tcW w:type="dxa" w:w="3251"/>
          </w:tcPr>
          <w:p>
            <w:pPr>
              <w:keepNext w:val="0"/>
              <w:spacing w:after="20"/>
            </w:pPr>
            <w:r>
              <w:rPr>
                <w:sz w:val="16"/>
              </w:rPr>
              <w:t>Undelivered plans</w:t>
            </w:r>
          </w:p>
        </w:tc>
        <w:tc>
          <w:tcPr>
            <w:tcW w:type="dxa" w:w="3370"/>
          </w:tcPr>
          <w:p>
            <w:pPr>
              <w:keepNext w:val="0"/>
              <w:spacing w:after="20"/>
            </w:pPr>
            <w:r>
              <w:rPr>
                <w:sz w:val="16"/>
              </w:rPr>
              <w:t>P1 and P3 write plans nobody receives</w:t>
            </w:r>
          </w:p>
        </w:tc>
        <w:tc>
          <w:tcPr>
            <w:tcW w:type="dxa" w:w="2451"/>
          </w:tcPr>
          <w:p>
            <w:pPr>
              <w:keepNext w:val="0"/>
              <w:spacing w:after="20"/>
            </w:pPr>
            <w:r>
              <w:rPr>
                <w:sz w:val="16"/>
              </w:rPr>
              <w:t>no (collusive text only)</w:t>
            </w:r>
          </w:p>
        </w:tc>
      </w:tr>
      <w:tr>
        <w:trPr>
          <w:cantSplit/>
        </w:trPr>
        <w:tc>
          <w:tcPr>
            <w:tcW w:type="dxa" w:w="3251"/>
          </w:tcPr>
          <w:p>
            <w:pPr>
              <w:keepNext w:val="0"/>
              <w:spacing w:after="20"/>
            </w:pPr>
            <w:r>
              <w:rPr>
                <w:sz w:val="16"/>
              </w:rPr>
              <w:t>Team, no channel</w:t>
            </w:r>
          </w:p>
        </w:tc>
        <w:tc>
          <w:tcPr>
            <w:tcW w:type="dxa" w:w="3370"/>
          </w:tcPr>
          <w:p>
            <w:pPr>
              <w:keepNext w:val="0"/>
              <w:spacing w:after="20"/>
            </w:pPr>
            <w:r>
              <w:rPr>
                <w:sz w:val="16"/>
              </w:rPr>
              <w:t>P1 and P3 are told they are a team</w:t>
            </w:r>
          </w:p>
        </w:tc>
        <w:tc>
          <w:tcPr>
            <w:tcW w:type="dxa" w:w="2451"/>
          </w:tcPr>
          <w:p>
            <w:pPr>
              <w:keepNext w:val="0"/>
              <w:spacing w:after="20"/>
            </w:pPr>
            <w:r>
              <w:rPr>
                <w:sz w:val="16"/>
              </w:rPr>
              <w:t>no (coordination in instructions)</w:t>
            </w:r>
          </w:p>
        </w:tc>
      </w:tr>
      <w:tr>
        <w:trPr>
          <w:cantSplit/>
        </w:trPr>
        <w:tc>
          <w:tcPr>
            <w:tcW w:type="dxa" w:w="3251"/>
          </w:tcPr>
          <w:p>
            <w:pPr>
              <w:keepNext w:val="0"/>
              <w:spacing w:after="20"/>
            </w:pPr>
            <w:r>
              <w:rPr>
                <w:sz w:val="16"/>
              </w:rPr>
              <w:t>Secret plan</w:t>
            </w:r>
          </w:p>
        </w:tc>
        <w:tc>
          <w:tcPr>
            <w:tcW w:type="dxa" w:w="3370"/>
          </w:tcPr>
          <w:p>
            <w:pPr>
              <w:keepNext w:val="0"/>
              <w:spacing w:after="20"/>
            </w:pPr>
            <w:r>
              <w:rPr>
                <w:sz w:val="16"/>
              </w:rPr>
              <w:t>P1 sends P3 both moves for the next round</w:t>
            </w:r>
          </w:p>
        </w:tc>
        <w:tc>
          <w:tcPr>
            <w:tcW w:type="dxa" w:w="2451"/>
          </w:tcPr>
          <w:p>
            <w:pPr>
              <w:keepNext w:val="0"/>
              <w:spacing w:after="20"/>
            </w:pPr>
            <w:r>
              <w:rPr>
                <w:sz w:val="16"/>
              </w:rPr>
              <w:t>yes (positive control)</w:t>
            </w:r>
          </w:p>
        </w:tc>
      </w:tr>
      <w:tr>
        <w:trPr>
          <w:cantSplit/>
        </w:trPr>
        <w:tc>
          <w:tcPr>
            <w:tcW w:type="dxa" w:w="3251"/>
          </w:tcPr>
          <w:p>
            <w:pPr>
              <w:keepNext w:val="0"/>
              <w:spacing w:after="20"/>
            </w:pPr>
            <w:r>
              <w:rPr>
                <w:i/>
                <w:sz w:val="16"/>
              </w:rPr>
              <w:t>Procurement auction, four suppliers, 30 rounds</w:t>
            </w:r>
          </w:p>
        </w:tc>
        <w:tc>
          <w:tcPr>
            <w:tcW w:type="dxa" w:w="3370"/>
          </w:tcPr>
          <w:p>
            <w:pPr>
              <w:keepNext w:val="0"/>
              <w:spacing w:after="20"/>
            </w:pPr>
          </w:p>
        </w:tc>
        <w:tc>
          <w:tcPr>
            <w:tcW w:type="dxa" w:w="2451"/>
          </w:tcPr>
          <w:p>
            <w:pPr>
              <w:keepNext w:val="0"/>
              <w:spacing w:after="20"/>
            </w:pPr>
          </w:p>
        </w:tc>
      </w:tr>
      <w:tr>
        <w:trPr>
          <w:cantSplit/>
        </w:trPr>
        <w:tc>
          <w:tcPr>
            <w:tcW w:type="dxa" w:w="3251"/>
          </w:tcPr>
          <w:p>
            <w:pPr>
              <w:keepNext w:val="0"/>
              <w:spacing w:after="20"/>
            </w:pPr>
            <w:r>
              <w:rPr>
                <w:sz w:val="16"/>
              </w:rPr>
              <w:t>Same model</w:t>
            </w:r>
          </w:p>
        </w:tc>
        <w:tc>
          <w:tcPr>
            <w:tcW w:type="dxa" w:w="3370"/>
          </w:tcPr>
          <w:p>
            <w:pPr>
              <w:keepNext w:val="0"/>
              <w:spacing w:after="20"/>
            </w:pPr>
            <w:r>
              <w:rPr>
                <w:sz w:val="16"/>
              </w:rPr>
              <w:t>published bids only</w:t>
            </w:r>
          </w:p>
        </w:tc>
        <w:tc>
          <w:tcPr>
            <w:tcW w:type="dxa" w:w="2451"/>
          </w:tcPr>
          <w:p>
            <w:pPr>
              <w:keepNext w:val="0"/>
              <w:spacing w:after="20"/>
            </w:pPr>
            <w:r>
              <w:rPr>
                <w:sz w:val="16"/>
              </w:rPr>
              <w:t>no</w:t>
            </w:r>
          </w:p>
        </w:tc>
      </w:tr>
      <w:tr>
        <w:trPr>
          <w:cantSplit/>
        </w:trPr>
        <w:tc>
          <w:tcPr>
            <w:tcW w:type="dxa" w:w="3251"/>
          </w:tcPr>
          <w:p>
            <w:pPr>
              <w:keepNext w:val="0"/>
              <w:spacing w:after="20"/>
            </w:pPr>
            <w:r>
              <w:rPr>
                <w:sz w:val="16"/>
              </w:rPr>
              <w:t>Public-data vendor</w:t>
            </w:r>
          </w:p>
        </w:tc>
        <w:tc>
          <w:tcPr>
            <w:tcW w:type="dxa" w:w="3370"/>
          </w:tcPr>
          <w:p>
            <w:pPr>
              <w:keepNext w:val="0"/>
              <w:spacing w:after="20"/>
            </w:pPr>
            <w:r>
              <w:rPr>
                <w:sz w:val="16"/>
              </w:rPr>
              <w:t>advice from published bids and own cost</w:t>
            </w:r>
          </w:p>
        </w:tc>
        <w:tc>
          <w:tcPr>
            <w:tcW w:type="dxa" w:w="2451"/>
          </w:tcPr>
          <w:p>
            <w:pPr>
              <w:keepNext w:val="0"/>
              <w:spacing w:after="20"/>
            </w:pPr>
            <w:r>
              <w:rPr>
                <w:sz w:val="16"/>
              </w:rPr>
              <w:t xml:space="preserve">no (as in </w:t>
            </w:r>
            <w:r>
              <w:rPr>
                <w:i/>
                <w:sz w:val="16"/>
              </w:rPr>
              <w:t>Gibson v. Cendyn</w:t>
            </w:r>
            <w:r>
              <w:rPr>
                <w:sz w:val="16"/>
              </w:rPr>
              <w:t>)</w:t>
            </w:r>
          </w:p>
        </w:tc>
      </w:tr>
      <w:tr>
        <w:trPr>
          <w:cantSplit/>
        </w:trPr>
        <w:tc>
          <w:tcPr>
            <w:tcW w:type="dxa" w:w="3251"/>
          </w:tcPr>
          <w:p>
            <w:pPr>
              <w:keepNext w:val="0"/>
              <w:spacing w:after="20"/>
            </w:pPr>
            <w:r>
              <w:rPr>
                <w:sz w:val="16"/>
              </w:rPr>
              <w:t>Pooled-data vendor</w:t>
            </w:r>
          </w:p>
        </w:tc>
        <w:tc>
          <w:tcPr>
            <w:tcW w:type="dxa" w:w="3370"/>
          </w:tcPr>
          <w:p>
            <w:pPr>
              <w:keepNext w:val="0"/>
              <w:spacing w:after="20"/>
            </w:pPr>
            <w:r>
              <w:rPr>
                <w:sz w:val="16"/>
              </w:rPr>
              <w:t>P1's and P3's private costs pooled, wins rotated</w:t>
            </w:r>
          </w:p>
        </w:tc>
        <w:tc>
          <w:tcPr>
            <w:tcW w:type="dxa" w:w="2451"/>
          </w:tcPr>
          <w:p>
            <w:pPr>
              <w:keepNext w:val="0"/>
              <w:spacing w:after="20"/>
            </w:pPr>
            <w:r>
              <w:rPr>
                <w:sz w:val="16"/>
              </w:rPr>
              <w:t xml:space="preserve">yes (as in </w:t>
            </w:r>
            <w:r>
              <w:rPr>
                <w:i/>
                <w:sz w:val="16"/>
              </w:rPr>
              <w:t>Duffy v. Yardi</w:t>
            </w:r>
            <w:r>
              <w:rPr>
                <w:sz w:val="16"/>
              </w:rPr>
              <w:t>)</w:t>
            </w:r>
          </w:p>
        </w:tc>
      </w:tr>
      <w:tr>
        <w:trPr>
          <w:cantSplit/>
        </w:trPr>
        <w:tc>
          <w:tcPr>
            <w:tcW w:type="dxa" w:w="3251"/>
          </w:tcPr>
          <w:p>
            <w:pPr>
              <w:keepNext w:val="0"/>
              <w:spacing w:after="20"/>
            </w:pPr>
            <w:r>
              <w:rPr>
                <w:sz w:val="16"/>
              </w:rPr>
              <w:t>Bid-rotation cartel</w:t>
            </w:r>
          </w:p>
        </w:tc>
        <w:tc>
          <w:tcPr>
            <w:tcW w:type="dxa" w:w="3370"/>
          </w:tcPr>
          <w:p>
            <w:pPr>
              <w:keepNext w:val="0"/>
              <w:spacing w:after="20"/>
            </w:pPr>
            <w:r>
              <w:rPr>
                <w:sz w:val="16"/>
              </w:rPr>
              <w:t>P1 and P3 rotate wins over a private channel</w:t>
            </w:r>
          </w:p>
        </w:tc>
        <w:tc>
          <w:tcPr>
            <w:tcW w:type="dxa" w:w="2451"/>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With four honest copies of Claude Haiku, mutual information accuses a pair in 69.3% of games and Bonjour's rule in 61.3% (Figure 3a). Published logs show the same: in the runs of Agrawal et al.,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Our sealed-bid auction is the exception: honest bids there barely vary, and no detector flagged more than 2% of honest games.</w:t>
      </w:r>
    </w:p>
    <w:p>
      <w:pPr>
        <w:keepNext/>
        <w:spacing w:after="40" w:before="0"/>
        <w:jc w:val="center"/>
      </w:pPr>
      <w:r>
        <w:drawing>
          <wp:inline>
            <wp:extent cx="5760720" cy="1738800"/>
            <wp:docPr id="3" name="Picture 3"/>
            <wp:cNvGraphicFramePr>
              <a:graphicFrameLocks noChangeAspect="1"/>
            </wp:cNvGraphicFramePr>
            <a:graphic>
              <a:graphicData uri="http://schemas.openxmlformats.org/drawingml/2006/picture">
                <pic:pic>
                  <pic:nvPicPr>
                    <pic:cNvPr id="0" name="p_fig2_main.png"/>
                    <pic:cNvPicPr/>
                  </pic:nvPicPr>
                  <pic:blipFill>
                    <a:blip r:embed="rId10"/>
                    <a:stretch>
                      <a:fillRect/>
                    </a:stretch>
                  </pic:blipFill>
                  <pic:spPr>
                    <a:xfrm>
                      <a:off x="0" y="0"/>
                      <a:ext cx="5760720" cy="1738800"/>
                    </a:xfrm>
                    <a:prstGeom prst="rect"/>
                  </pic:spPr>
                </pic:pic>
              </a:graphicData>
            </a:graphic>
          </wp:inline>
        </w:drawing>
      </w:r>
    </w:p>
    <w:p>
      <w:pPr>
        <w:spacing w:after="120" w:before="0"/>
        <w:jc w:val="both"/>
      </w:pPr>
      <w:r>
        <w:rPr>
          <w:b/>
          <w:color w:val="404040"/>
          <w:sz w:val="17"/>
        </w:rPr>
        <w:t>Figure 3.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150 honest games per model and 40 colluding games per condition, all pre-registered; Appendix C has every condition.</w:t>
      </w:r>
    </w:p>
    <w:p>
      <w:pPr>
        <w:pStyle w:val="Heading3"/>
        <w:keepNext/>
        <w:spacing w:before="100" w:after="60"/>
      </w:pPr>
      <w:r>
        <w:rPr/>
        <w:t>5.2 The replay test keeps its false-alarm rate</w:t>
      </w:r>
    </w:p>
    <w:p>
      <w:pPr>
        <w:spacing w:after="60" w:before="0"/>
        <w:jc w:val="both"/>
      </w:pPr>
      <w:r>
        <w:rPr>
          <w:sz w:val="20"/>
        </w:rPr>
        <w:t>On 550 honest LLM games, pooled over the same-model, mixed-model and undelivered-plan conditions, the fixed-horizon replay test flags 4.2% at the 5% level, with interval 3–6%, and its p-values are close to uniform. In the auction it flags 1% of honest games; the validation models are in Table A1. In the pre-registered study of the re-implemented double auction, the sequential test raised 0/60 false alarms in games without chat (95% CI 0–6%), ruling out a false-alarm rate of 15% or more (p &lt; 10</w:t>
      </w:r>
      <w:r>
        <w:rPr>
          <w:sz w:val="20"/>
          <w:vertAlign w:val="superscript"/>
        </w:rPr>
        <w:t>−4</w:t>
      </w:r>
      <w:r>
        <w:rPr>
          <w:sz w:val="20"/>
        </w:rPr>
        <w:t>). Appendix C.7 reports that study in full.</w:t>
      </w:r>
    </w:p>
    <w:p>
      <w:pPr>
        <w:pStyle w:val="Heading3"/>
        <w:keepNext/>
        <w:spacing w:before="100" w:after="60"/>
      </w:pPr>
      <w:r>
        <w:rPr/>
        <w:t>5.3 Channels that leave a joint signal are found</w:t>
      </w:r>
    </w:p>
    <w:p>
      <w:pPr>
        <w:spacing w:after="60" w:before="0"/>
        <w:jc w:val="both"/>
      </w:pPr>
      <w:r>
        <w:rPr>
          <w:sz w:val="20"/>
        </w:rPr>
        <w:t xml:space="preserve">A pricing vendor that pools its two clients' confidential costs is caught: the test names the pair in 92.5% of such games, and flags 1.7% of games in which the vendor uses only public data (Table A1). The split mirrors </w:t>
      </w:r>
      <w:r>
        <w:rPr>
          <w:i/>
          <w:sz w:val="20"/>
        </w:rPr>
        <w:t>Gibson v. Cendyn</w:t>
      </w:r>
      <w:r>
        <w:rPr>
          <w:sz w:val="20"/>
        </w:rPr>
        <w:t xml:space="preserve"> (9th Cir. 2025, independent licensees of one pricing tool, dismissed) and </w:t>
      </w:r>
      <w:r>
        <w:rPr>
          <w:i/>
          <w:sz w:val="20"/>
        </w:rPr>
        <w:t>Duffy v. Yardi</w:t>
      </w:r>
      <w:r>
        <w:rPr>
          <w:sz w:val="20"/>
        </w:rPr>
        <w:t xml:space="preserve"> (W.D. Wash. 2024, a vendor alleged to pool rivals' data, not dismissed). With Claude Haiku sellers, a pre-registered run named the pooled-data pair in 15% of games and flagged the public-data vendor in 0% (Appendix C.11). A bid-rotation cartel over a private channel is named in 57.5% of games; the baselines do as well in this auction, because honest bids barely vary.</w:t>
      </w:r>
    </w:p>
    <w:p>
      <w:pPr>
        <w:spacing w:after="60" w:before="0"/>
        <w:jc w:val="both"/>
      </w:pPr>
      <w:r>
        <w:rPr>
          <w:sz w:val="20"/>
        </w:rPr>
        <w:t>In rock-paper-scissors the test names the instructed pair in 35% of Haiku games and 10% of DeepSeek games. The gap is the signal: Haiku's plans often give both players the same move, DeepSeek's vary from round to round. Mutual information names 62.5% of Haiku pairs, but only by accusing honest groups as well; at a matched false-alarm rate of 5% it detects 0% of Haiku pairs and the replay test 42% (Table A4).</w:t>
      </w:r>
    </w:p>
    <w:p>
      <w:pPr>
        <w:spacing w:after="60" w:before="0"/>
        <w:jc w:val="both"/>
      </w:pPr>
      <w:r>
        <w:rPr>
          <w:sz w:val="20"/>
        </w:rPr>
        <w:t>The pre-registered replication confirmed the sequential test (Figure 4). On fresh Haiku games it named the instructed pair in 18/20 games, against 11/20 for the fixed-horizon test on the same games, and raised 0/40 false alarms on honest games. On fresh DeepSeek games with the provider pinned, the likelihood-ratio bet of Appendix C.9 flagged 10/40 secret-plan games against 0/40 for the joint bet, with 3/80 false alarms. In a public chat that the auditor reads, a pair that hid its move in a code word was flagged in 30% of games, against 5% of honest small-talk games. Both runs were pre-registered (Appendix C.11). An LLM judge reading the actions ranks Haiku pairs about as well as the replay test, but nothing fixes how often it accuses honest agents, and given the private messages it accuses 65% of Haiku groups whose plans were never delivered (Appendix C.5).</w:t>
      </w:r>
    </w:p>
    <w:p>
      <w:pPr>
        <w:keepNext/>
        <w:spacing w:after="40" w:before="0"/>
        <w:jc w:val="center"/>
      </w:pPr>
      <w:r>
        <w:drawing>
          <wp:inline>
            <wp:extent cx="5760720" cy="1519396"/>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519396"/>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Three cases. Pairs told they are a team but given no channel are flagged in 3.3% of Haiku games and 5% of DeepSeek games: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the mean trade price to 88.96, against 85.62 without chat, yet the sequential test alarmed in 2/30 of its games against 0/30 without chat (p = 0.246). A replay keeps the seller's memory, so a price floor read in one hour is still obeyed by the replay of the next, and the inbox adds little (Appendix C.6). What the inbox does add is timing: all followers leave their replays in the same hours. A co-departure statistic, the number of rounds in which both agents of a pair act outside their pools, chosen after seeing these data, flags 20/30 cartel games against 1/30 without chat (Appendix C.10), and a fresh pre-registered series confirmed it, 73.3% against 3.3% (Appendix C.11).</w:t>
      </w:r>
    </w:p>
    <w:p>
      <w:pPr>
        <w:spacing w:after="60" w:before="0"/>
        <w:jc w:val="both"/>
      </w:pPr>
      <w:r>
        <w:rPr>
          <w:sz w:val="20"/>
        </w:rPr>
        <w:t>Honest agents that repeat their own moves are the third case. When honest simulated agents copy their last move with probability 0.5 or more, the fixed-horizon test flags 7–9.5% of honest logs, because its null redraws rounds independently and breaks the runs. The sequential test stays at or below 4.5%, as Proposition 2 requires, and we recommend it for agents whose actions persist.</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points to the audited channel, not to a shared vendor.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the target rate. In theory the best betting rule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00642"/>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280064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79399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9399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198201"/>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19820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030027"/>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2030027"/>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val="0"/>
              <w:spacing w:after="20"/>
            </w:pPr>
            <w:r>
              <w:rPr>
                <w:sz w:val="16"/>
              </w:rPr>
              <w:t>Models that failed the pilot's format or availability checks</w:t>
            </w:r>
          </w:p>
        </w:tc>
        <w:tc>
          <w:tcPr>
            <w:tcW w:type="dxa" w:w="2643"/>
          </w:tcPr>
          <w:p>
            <w:pPr>
              <w:keepNext w:val="0"/>
              <w:spacing w:after="20"/>
            </w:pPr>
            <w:r>
              <w:rPr>
                <w:sz w:val="16"/>
              </w:rPr>
              <w:t>dropped before the main samples</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