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 and Claude (AI co-author,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its fixed-horizon version names the true pair in 92.5% of games when the vendor pools confidential costs and flags 1.7% when it uses only public data. A pre-registered replication on fresh games confirmed the sequential version on an instructed positive control.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confirmed in a fresh pre-registered series (73.3% against 3.3%).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keepNext/>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The fixed-horizon version keeps false alarms near the target on honest LLM games and still finds channels that change behaviour, including a vendor pooling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keepNext/>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Standard tests accuse honest agents.</w:t>
      </w:r>
      <w:r>
        <w:rPr>
          <w:sz w:val="20"/>
        </w:rPr>
        <w:t xml:space="preserve"> With four honest copies of Claude Haiku, mutual information accuses a pair in 69.3% of games and Bonjour's rule in 61.3% (Fig. 2a).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150 honest games per model and 40 colluding games per condition, all pre-registered; Appendix C has every condition.</w:t>
      </w:r>
    </w:p>
    <w:p>
      <w:pPr>
        <w:pStyle w:val="Heading3"/>
        <w:keepNext/>
        <w:spacing w:before="100" w:after="60"/>
      </w:pPr>
      <w:r>
        <w:rPr/>
        <w:t>5.2 The replay test keeps its false-alarm rate on LLM agents</w:t>
      </w:r>
    </w:p>
    <w:p>
      <w:pPr>
        <w:spacing w:after="60" w:before="0"/>
        <w:jc w:val="both"/>
      </w:pPr>
      <w:r>
        <w:rPr>
          <w:b/>
          <w:sz w:val="20"/>
        </w:rPr>
        <w:t>False alarms stay near the target.</w:t>
      </w:r>
      <w:r>
        <w:rPr>
          <w:sz w:val="20"/>
        </w:rPr>
        <w:t xml:space="preserve"> On 550 honest LLM games (same model, mixed models and undelivered plans) the replay test flags 4.2% at the 5% level (95% CI 3–6%). Its p-values on honest games are close to uniform. In the auction it flags 1% of honest games, and on the validation models 3/40 (GPT-6 Luna), 4/40 (Gemma 3) and 1/40 (gpt-oss-20b).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Strong joint signals are found; weak ones escape.</w:t>
      </w:r>
      <w:r>
        <w:rPr>
          <w:sz w:val="20"/>
        </w:rPr>
        <w:t xml:space="preserve"> When a hidden channel leaves a strong joint signal in the moves, the replay test finds the pair.</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The sequential test's guarantee costs power elsewhere: it names the pooled-data vendor pair in 45% of games, against 92.5% for the fixed-horizon test. Appendix C.9 explains why and gives a post-hoc bet that recovers 92.5% here.</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b/>
          <w:sz w:val="20"/>
        </w:rPr>
        <w:t>Three blind spots.</w:t>
      </w:r>
      <w:r>
        <w:rPr>
          <w:sz w:val="20"/>
        </w:rPr>
        <w:t xml:space="preserve"> 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(C.10), confirmed on a fresh pre-registered series (73.3% against 3.3%,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under A1–A3 a flag points to the audited channel, not to a shared vendor.</w:t>
      </w:r>
    </w:p>
    <w:p>
      <w:pPr>
        <w:keepNext/>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in the main runs.</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brings these false accusations down to the target rate, and, in theory, the growth-optimal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Table A4b gives the LLM judges: from actions alone a judge ranks Haiku pairs about as well as the replay test but accuses honest games at a rate nothing controls, and given the private messages it accuses groups whose collusive plans were never delivered. Table A5 shows one real pooled-data-vendor game.</w:t>
      </w: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m:oMath>
        <m:r>
          <m:t xml:space="preserve">P</m:t>
        </m:r>
      </m:oMath>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m:oMath>
        <m:r>
          <m:t xml:space="preserve">k</m:t>
        </m:r>
      </m:oMath>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m:oMath>
        <m:r>
          <m:t xml:space="preserve">k</m:t>
        </m:r>
      </m:oMath>
      <w:r>
        <w:rPr>
          <w:sz w:val="20"/>
        </w:rPr>
        <w:t xml:space="preserve"> inequality between the two divergences.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m:oMath>
        <m:r>
          <m:t xml:space="preserve">k</m:t>
        </m:r>
        <m:r>
          <m:rPr>
            <m:sty m:val="p"/>
          </m:rPr>
          <m:t xml:space="preserve">=</m:t>
        </m:r>
        <m:r>
          <m:t xml:space="preserve">2</m:t>
        </m:r>
      </m:oMath>
      <w:r>
        <w:rPr>
          <w:sz w:val="20"/>
        </w:rPr>
        <w:t xml:space="preserve"> this is a heuristic scale, not a bound.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7" name="Picture 7"/>
            <wp:cNvGraphicFramePr>
              <a:graphicFrameLocks noChangeAspect="1"/>
            </wp:cNvGraphicFramePr>
            <a:graphic>
              <a:graphicData uri="http://schemas.openxmlformats.org/drawingml/2006/picture">
                <pic:pic>
                  <pic:nvPicPr>
                    <pic:cNvPr id="0" name="p_figA4_growth.png"/>
                    <pic:cNvPicPr/>
                  </pic:nvPicPr>
                  <pic:blipFill>
                    <a:blip r:embed="rId14"/>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keepNext/>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