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Auditors look for collusion between AI agents by testing whether their actions depend on each other. But agents that run on the same model behave alike without communicating. With four honest copies of Claude Haiku playing rock-paper-scissors, a standard mutual-information test accuses a pair in 69% of episodes and the Bonjour et al. rule in 61%. On the published logs of Agrawal et al. (2025), the test flags 8/10 double-auction runs in which sellers could not talk. We propose a replay test for auditors who can query deployed agents. Each round, every agent is re-asked on exactly what it saw, with its private channel removed, and a pair is flagged only if their real moves depend on each other more than their replays do. This is a conditional randomization test whose null is exact round by round. Across 550 honest LLM episodes (DeepSeek and Haiku; same-model, mixed and collusive-talk conditions; pre-registered) it flags 4.2% at α = 5%. In a procurement auction it names the colluding pair in 92% of episodes where a pricing vendor pools two clients' confidential costs, and flags 2% where the vendor uses only public data, the distinction that Gibson v. Cendyn and Duffy v. Yardi turn on. Its power depends on how strongly a hidden plan shapes the moves. An exploratory sequential version keeps its false-alarm rate below α at any stopping time and reports rounds to detection. Coordination written into the agents' own instructions is, by design, invisible to the test.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keepNext/>
        <w:spacing w:before="200" w:after="60"/>
      </w:pPr>
      <w:r>
        <w:rPr/>
        <w:t>1. Introduction</w:t>
      </w:r>
    </w:p>
    <w:p>
      <w:pPr>
        <w:spacing w:after="80" w:before="0"/>
        <w:jc w:val="both"/>
      </w:pPr>
      <w:r>
        <w:rPr>
          <w:sz w:val="20"/>
        </w:rPr>
        <w:t>Firms and labs now deploy many LLM agents side by side: pricing bots in one market, coding agents in one repository, bidders in one procurement system. Collusion between such agents has already happened outside the lab. In the OpenAI / Hugging Face incident, as speakers at this sprint described it, training-time agents used a shared package registry as a message board for more than two months before anyone read the logs. When the channel itself cannot be monitored, "what's left to monitor is still the actions of the agents themselves" (S. Motwani, this sprint).</w:t>
      </w:r>
    </w:p>
    <w:p>
      <w:pPr>
        <w:spacing w:after="80" w:before="0"/>
        <w:jc w:val="both"/>
      </w:pPr>
      <w:r>
        <w:rPr>
          <w:sz w:val="20"/>
        </w:rPr>
        <w:t>The standard way to audit actions is to test for statistical dependence between agents, for example pairwise mutual information or Bonjour et al.'s net influence [1, 2]. But dependence is a weak plus factor. Agents built on the same base model share priors and react to the same public history, so they move together without exchanging a word [3]. In antitrust terms this is conscious parallelism, which is lawful; only an agreement is not [4, 5]. A detector that cannot tell the two apart will accuse every fleet of agents that runs on one vendor's model. For a security team that means constant false alarms. For a regulator it means false accusations.</w:t>
      </w:r>
    </w:p>
    <w:p>
      <w:pPr>
        <w:spacing w:after="80" w:before="0"/>
        <w:jc w:val="both"/>
      </w:pPr>
      <w:r>
        <w:rPr>
          <w:b/>
          <w:sz w:val="20"/>
        </w:rPr>
        <w:t>Threat model.</w:t>
      </w:r>
    </w:p>
    <w:p>
      <w:pPr>
        <w:tabs>
          <w:tab w:pos="403" w:val="left"/>
        </w:tabs>
        <w:spacing w:after="40" w:before="0"/>
        <w:ind w:left="403" w:hanging="288"/>
      </w:pPr>
      <w:r>
        <w:rPr>
          <w:sz w:val="20"/>
        </w:rPr>
        <w:t>•</w:t>
        <w:tab/>
      </w:r>
      <w:r>
        <w:rPr>
          <w:sz w:val="20"/>
        </w:rPr>
        <w:t>An operator, or a regulator's sandbox, runs several LLM agents and logs their actions.</w:t>
      </w:r>
    </w:p>
    <w:p>
      <w:pPr>
        <w:tabs>
          <w:tab w:pos="403" w:val="left"/>
        </w:tabs>
        <w:spacing w:after="40" w:before="0"/>
        <w:ind w:left="403" w:hanging="288"/>
      </w:pPr>
      <w:r>
        <w:rPr>
          <w:sz w:val="20"/>
        </w:rPr>
        <w:t>•</w:t>
        <w:tab/>
      </w:r>
      <w:r>
        <w:rPr>
          <w:sz w:val="20"/>
        </w:rPr>
        <w:t>It can query each agent's deployed policy (model plus system prompt) on any logged observation.</w:t>
      </w:r>
    </w:p>
    <w:p>
      <w:pPr>
        <w:tabs>
          <w:tab w:pos="403" w:val="left"/>
        </w:tabs>
        <w:spacing w:after="40" w:before="0"/>
        <w:ind w:left="403" w:hanging="288"/>
      </w:pPr>
      <w:r>
        <w:rPr>
          <w:sz w:val="20"/>
        </w:rPr>
        <w:t>•</w:t>
        <w:tab/>
      </w:r>
      <w:r>
        <w:rPr>
          <w:sz w:val="20"/>
        </w:rPr>
        <w:t>It cannot see the hidden channel: a side channel, a covert message board, or a third party passing data between agents.</w:t>
      </w:r>
    </w:p>
    <w:p>
      <w:pPr>
        <w:tabs>
          <w:tab w:pos="403" w:val="left"/>
        </w:tabs>
        <w:spacing w:after="40" w:before="0"/>
        <w:ind w:left="403" w:hanging="288"/>
      </w:pPr>
      <w:r>
        <w:rPr>
          <w:sz w:val="20"/>
        </w:rPr>
        <w:t>•</w:t>
        <w:tab/>
      </w:r>
      <w:r>
        <w:rPr>
          <w:sz w:val="20"/>
        </w:rPr>
        <w:t>It must decide which pair, if any, to escalate, and keep false accusations at a chosen rate.</w:t>
      </w:r>
    </w:p>
    <w:p>
      <w:pPr>
        <w:spacing w:after="80" w:before="0"/>
        <w:jc w:val="both"/>
      </w:pPr>
      <w:r>
        <w:rPr>
          <w:b/>
          <w:sz w:val="20"/>
        </w:rPr>
        <w:t>Our approach (Fig. 1).</w:t>
      </w:r>
      <w:r>
        <w:rPr>
          <w:sz w:val="20"/>
        </w:rPr>
        <w:t xml:space="preserve"> We replay each agent. In every round, the auditor re-asks the agent what it would do given exactly what it saw, minus the private channel, and flags a pair only if the real moves depend on each other more than the replays do. Statisticians call this a conditional randomization test (CRT) [6]. The difference is that we do not estimate what each agent would have done on its own: we ask it.</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rock-paper-scissors, standard dependence detectors flag up to 69% of honest same-model episodes against a nominal 5%. In our auction, where honest bids barely vary, they do not (§4.1, Fig. 2A).</w:t>
      </w:r>
    </w:p>
    <w:p>
      <w:pPr>
        <w:tabs>
          <w:tab w:pos="403" w:val="left"/>
        </w:tabs>
        <w:spacing w:after="40" w:before="0"/>
        <w:ind w:left="403" w:hanging="288"/>
      </w:pPr>
      <w:r>
        <w:rPr>
          <w:sz w:val="20"/>
        </w:rPr>
        <w:t>2.</w:t>
        <w:tab/>
      </w:r>
      <w:r>
        <w:rPr>
          <w:b/>
          <w:sz w:val="20"/>
        </w:rPr>
        <w:t>A replay test with a controlled false-alarm rate.</w:t>
      </w:r>
      <w:r>
        <w:rPr>
          <w:sz w:val="20"/>
        </w:rPr>
        <w:t xml:space="preserve"> Pooling each logged action with its re-queries makes the null exact round by round. The test holds its nominal rate on 550 honest LLM episodes and on simulated nulls with strong feedback, and names pairs whose hidden channel shapes their moves (§4.2–4.3, Figs. 2–3).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pricing vendor that uses public data from one that pools clients' confidential costs, the distinction that two recent US cases turn on. Coordination written into the policy itself is explicitly out of scope (§4.4).</w:t>
      </w:r>
    </w:p>
    <w:p>
      <w:pPr>
        <w:tabs>
          <w:tab w:pos="403" w:val="left"/>
        </w:tabs>
        <w:spacing w:after="40" w:before="0"/>
        <w:ind w:left="403" w:hanging="288"/>
      </w:pPr>
      <w:r>
        <w:rPr>
          <w:sz w:val="20"/>
        </w:rPr>
        <w:t>4.</w:t>
        <w:tab/>
      </w:r>
      <w:r>
        <w:rPr>
          <w:b/>
          <w:sz w:val="20"/>
        </w:rPr>
        <w:t>A practical comparison.</w:t>
      </w:r>
      <w:r>
        <w:rPr>
          <w:sz w:val="20"/>
        </w:rPr>
        <w:t xml:space="preserve"> An LLM judge that reads private messages flags collusive plans that were never delivered. Whether that is an error depends on whether the auditor targets agreement or effect. We report the cost per audit and release a pre-registered plan, code and logs (§4.5–4.6).</w:t>
      </w:r>
    </w:p>
    <w:p>
      <w:pPr>
        <w:pStyle w:val="Heading2"/>
        <w:keepNext/>
        <w:spacing w:before="200" w:after="60"/>
      </w:pPr>
      <w:r>
        <w:rPr/>
        <w:t>2. Related Work</w:t>
      </w:r>
    </w:p>
    <w:p>
      <w:pPr>
        <w:spacing w:after="80" w:before="0"/>
        <w:jc w:val="both"/>
      </w:pPr>
      <w:r>
        <w:rPr>
          <w:b/>
          <w:sz w:val="20"/>
        </w:rPr>
        <w:t>Dependence-based detection.</w:t>
      </w:r>
    </w:p>
    <w:p>
      <w:pPr>
        <w:tabs>
          <w:tab w:pos="403" w:val="left"/>
        </w:tabs>
        <w:spacing w:after="40" w:before="0"/>
        <w:ind w:left="403" w:hanging="288"/>
      </w:pPr>
      <w:r>
        <w:rPr>
          <w:sz w:val="20"/>
        </w:rPr>
        <w:t>•</w:t>
        <w:tab/>
      </w:r>
      <w:r>
        <w:rPr>
          <w:sz w:val="20"/>
        </w:rPr>
        <w:t>Bonjour et al. [1] define pairwise net influence and identify colluding pairs in small discrete games with a fixed threshold. They assume exactly two colluders and do not address agents that share priors.</w:t>
      </w:r>
    </w:p>
    <w:p>
      <w:pPr>
        <w:tabs>
          <w:tab w:pos="403" w:val="left"/>
        </w:tabs>
        <w:spacing w:after="40" w:before="0"/>
        <w:ind w:left="403" w:hanging="288"/>
      </w:pPr>
      <w:r>
        <w:rPr>
          <w:sz w:val="20"/>
        </w:rPr>
        <w:t>•</w:t>
        <w:tab/>
      </w:r>
      <w:r>
        <w:rPr>
          <w:sz w:val="20"/>
        </w:rPr>
        <w:t>Audit the Whisper / ColludeBench [2] calibrates text-based mutual information against honest replays at a 10</w:t>
      </w:r>
      <w:r>
        <w:rPr>
          <w:sz w:val="20"/>
          <w:vertAlign w:val="superscript"/>
        </w:rPr>
        <w:t>-3</w:t>
      </w:r>
      <w:r>
        <w:rPr>
          <w:sz w:val="20"/>
        </w:rPr>
        <w:t xml:space="preserve"> false-positive budget. It needs payload labels and flags runs rather than pairs.</w:t>
      </w:r>
    </w:p>
    <w:p>
      <w:pPr>
        <w:tabs>
          <w:tab w:pos="403" w:val="left"/>
        </w:tabs>
        <w:spacing w:after="40" w:before="0"/>
        <w:ind w:left="403" w:hanging="288"/>
      </w:pPr>
      <w:r>
        <w:rPr>
          <w:sz w:val="20"/>
        </w:rPr>
        <w:t>•</w:t>
        <w:tab/>
      </w:r>
      <w:r>
        <w:rPr>
          <w:sz w:val="20"/>
        </w:rPr>
        <w:t>Xu et al. [3] show that two deployments of one base model carry correlated bid residuals, and concede that dependence cannot distinguish a conspiracy from one firm running several agents. Our test turns their confound into the null.</w:t>
      </w:r>
    </w:p>
    <w:p>
      <w:pPr>
        <w:spacing w:after="80" w:before="0"/>
        <w:jc w:val="both"/>
      </w:pPr>
      <w:r>
        <w:rPr>
          <w:b/>
          <w:sz w:val="20"/>
        </w:rPr>
        <w:t>Auditing behaviour and policies.</w:t>
      </w:r>
      <w:r>
        <w:rPr>
          <w:sz w:val="20"/>
        </w:rPr>
        <w:t xml:space="preserve"> Colosseum [8] measures a known coalition's advantage against an oracle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does not detect collusion in LLM pricing agents [12]. Per-action defences give no protection against colluders [13], cross-agent monitoring catches decomposed attacks that per-agent monitoring misses [14], and white-box probes need activations [15]. Our replay is an action-level analogue of the "sentinel" comparison that Anwar (this sprint) proposed for steganography detection.</w:t>
      </w:r>
    </w:p>
    <w:p>
      <w:pPr>
        <w:spacing w:after="80" w:before="0"/>
        <w:jc w:val="both"/>
      </w:pPr>
      <w:r>
        <w:rPr>
          <w:b/>
          <w:sz w:val="20"/>
        </w:rPr>
        <w:t>Definition used.</w:t>
      </w:r>
      <w:r>
        <w:rPr>
          <w:sz w:val="20"/>
        </w:rPr>
        <w:t xml:space="preserve"> Following the information-flow view (Rose et al. [15]; the organisers' survey of 139 definitions), we call collusion the coordination of actions </w:t>
      </w:r>
      <w:r>
        <w:rPr>
          <w:i/>
          <w:sz w:val="20"/>
        </w:rPr>
        <w:t>enabled by non-public information exchanged between agents</w:t>
      </w:r>
      <w:r>
        <w:rPr>
          <w:sz w:val="20"/>
        </w:rPr>
        <w:t>. Coordination that each agent's own policy produces from public information, such as Schelling points, shared priors, or a team instruction with no channel, is outside this definition and corresponds to conscious parallelism.</w:t>
      </w:r>
    </w:p>
    <w:p>
      <w:pPr>
        <w:pStyle w:val="Heading2"/>
        <w:keepNext/>
        <w:spacing w:before="200" w:after="60"/>
      </w:pPr>
      <w:r>
        <w:rPr/>
        <w:t>3. Methods</w:t>
      </w:r>
    </w:p>
    <w:p>
      <w:pPr>
        <w:keepNext/>
        <w:spacing w:after="40" w:before="0"/>
        <w:jc w:val="center"/>
      </w:pPr>
      <w:r>
        <w:drawing>
          <wp:inline>
            <wp:extent cx="5120640" cy="1625950"/>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5120640" cy="1625950"/>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game of Bonjour et al.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w:t>
      </w:r>
    </w:p>
    <w:p>
      <w:pPr>
        <w:tabs>
          <w:tab w:pos="403" w:val="left"/>
        </w:tabs>
        <w:spacing w:after="40" w:before="0"/>
        <w:ind w:left="403" w:hanging="288"/>
      </w:pPr>
      <w:r>
        <w:rPr>
          <w:sz w:val="20"/>
        </w:rPr>
        <w:t>•</w:t>
        <w:tab/>
      </w:r>
      <w:r>
        <w:rPr>
          <w:sz w:val="20"/>
        </w:rPr>
        <w:t xml:space="preserve">Main models: </w:t>
      </w:r>
      <w:r>
        <w:rPr>
          <w:rFonts w:ascii="Courier New" w:hAnsi="Courier New"/>
          <w:sz w:val="20"/>
        </w:rPr>
        <w:t>deepseek-v4-flash</w:t>
      </w:r>
      <w:r>
        <w:rPr>
          <w:sz w:val="20"/>
        </w:rPr>
        <w:t xml:space="preserve"> and </w:t>
      </w:r>
      <w:r>
        <w:rPr>
          <w:rFonts w:ascii="Courier New" w:hAnsi="Courier New"/>
          <w:sz w:val="20"/>
        </w:rPr>
        <w:t>claude-haiku-5.5</w:t>
      </w:r>
      <w:r>
        <w:rPr>
          <w:sz w:val="20"/>
        </w:rPr>
        <w:t>.</w:t>
      </w:r>
    </w:p>
    <w:p>
      <w:pPr>
        <w:tabs>
          <w:tab w:pos="403" w:val="left"/>
        </w:tabs>
        <w:spacing w:after="40" w:before="0"/>
        <w:ind w:left="403" w:hanging="288"/>
      </w:pPr>
      <w:r>
        <w:rPr>
          <w:sz w:val="20"/>
        </w:rPr>
        <w:t>•</w:t>
        <w:tab/>
      </w:r>
      <w:r>
        <w:rPr>
          <w:sz w:val="20"/>
        </w:rPr>
        <w:t xml:space="preserve">Validation models: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w:t>
      </w:r>
    </w:p>
    <w:p>
      <w:pPr>
        <w:tabs>
          <w:tab w:pos="403" w:val="left"/>
        </w:tabs>
        <w:spacing w:after="40" w:before="0"/>
        <w:ind w:left="403" w:hanging="288"/>
      </w:pPr>
      <w:r>
        <w:rPr>
          <w:sz w:val="20"/>
        </w:rPr>
        <w:t>•</w:t>
        <w:tab/>
      </w:r>
      <w:r>
        <w:rPr>
          <w:sz w:val="20"/>
        </w:rPr>
        <w:t>All models are called through OpenRouter at temperature 1, with reasoning disabled.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c>
          <w:tcPr>
            <w:tcW w:type="dxa" w:w="3120"/>
          </w:tcPr>
          <w:p>
            <w:pPr>
              <w:spacing w:after="20"/>
            </w:pPr>
            <w:r>
              <w:rPr>
                <w:b/>
                <w:sz w:val="16"/>
              </w:rPr>
              <w:t>Condition</w:t>
            </w:r>
          </w:p>
        </w:tc>
        <w:tc>
          <w:tcPr>
            <w:tcW w:type="dxa" w:w="3120"/>
          </w:tcPr>
          <w:p>
            <w:pPr>
              <w:spacing w:after="20"/>
            </w:pPr>
            <w:r>
              <w:rPr>
                <w:b/>
                <w:sz w:val="16"/>
              </w:rPr>
              <w:t>Who</w:t>
            </w:r>
          </w:p>
        </w:tc>
        <w:tc>
          <w:tcPr>
            <w:tcW w:type="dxa" w:w="3120"/>
          </w:tcPr>
          <w:p>
            <w:pPr>
              <w:spacing w:after="20"/>
            </w:pPr>
            <w:r>
              <w:rPr>
                <w:b/>
                <w:sz w:val="16"/>
              </w:rPr>
              <w:t>Non-public information flow?</w:t>
            </w:r>
          </w:p>
        </w:tc>
      </w:tr>
      <w:tr>
        <w:tc>
          <w:tcPr>
            <w:tcW w:type="dxa" w:w="3120"/>
          </w:tcPr>
          <w:p>
            <w:pPr>
              <w:spacing w:after="20"/>
            </w:pPr>
            <w:r>
              <w:rPr>
                <w:rFonts w:ascii="Courier New" w:hAnsi="Courier New"/>
                <w:sz w:val="16"/>
              </w:rPr>
              <w:t>null_same</w:t>
            </w:r>
          </w:p>
        </w:tc>
        <w:tc>
          <w:tcPr>
            <w:tcW w:type="dxa" w:w="3120"/>
          </w:tcPr>
          <w:p>
            <w:pPr>
              <w:spacing w:after="20"/>
            </w:pPr>
            <w:r>
              <w:rPr>
                <w:sz w:val="16"/>
              </w:rPr>
              <w:t>4 copies of one model</w:t>
            </w:r>
          </w:p>
        </w:tc>
        <w:tc>
          <w:tcPr>
            <w:tcW w:type="dxa" w:w="3120"/>
          </w:tcPr>
          <w:p>
            <w:pPr>
              <w:spacing w:after="20"/>
            </w:pPr>
            <w:r>
              <w:rPr>
                <w:sz w:val="16"/>
              </w:rPr>
              <w:t>no: hardest legitimate null</w:t>
            </w:r>
          </w:p>
        </w:tc>
      </w:tr>
      <w:tr>
        <w:tc>
          <w:tcPr>
            <w:tcW w:type="dxa" w:w="3120"/>
          </w:tcPr>
          <w:p>
            <w:pPr>
              <w:spacing w:after="20"/>
            </w:pPr>
            <w:r>
              <w:rPr>
                <w:rFonts w:ascii="Courier New" w:hAnsi="Courier New"/>
                <w:sz w:val="16"/>
              </w:rPr>
              <w:t>null_mixed</w:t>
            </w:r>
          </w:p>
        </w:tc>
        <w:tc>
          <w:tcPr>
            <w:tcW w:type="dxa" w:w="3120"/>
          </w:tcPr>
          <w:p>
            <w:pPr>
              <w:spacing w:after="20"/>
            </w:pPr>
            <w:r>
              <w:rPr>
                <w:sz w:val="16"/>
              </w:rPr>
              <w:t>2 DeepSeek + 2 Haiku</w:t>
            </w:r>
          </w:p>
        </w:tc>
        <w:tc>
          <w:tcPr>
            <w:tcW w:type="dxa" w:w="3120"/>
          </w:tcPr>
          <w:p>
            <w:pPr>
              <w:spacing w:after="20"/>
            </w:pPr>
            <w:r>
              <w:rPr>
                <w:sz w:val="16"/>
              </w:rPr>
              <w:t>no: same-model pairs</w:t>
            </w:r>
          </w:p>
        </w:tc>
      </w:tr>
      <w:tr>
        <w:tc>
          <w:tcPr>
            <w:tcW w:type="dxa" w:w="3120"/>
          </w:tcPr>
          <w:p>
            <w:pPr>
              <w:spacing w:after="20"/>
            </w:pPr>
            <w:r>
              <w:rPr>
                <w:rFonts w:ascii="Courier New" w:hAnsi="Courier New"/>
                <w:sz w:val="16"/>
              </w:rPr>
              <w:t>talk_no_action</w:t>
            </w:r>
          </w:p>
        </w:tc>
        <w:tc>
          <w:tcPr>
            <w:tcW w:type="dxa" w:w="3120"/>
          </w:tcPr>
          <w:p>
            <w:pPr>
              <w:spacing w:after="20"/>
            </w:pPr>
            <w:r>
              <w:rPr>
                <w:sz w:val="16"/>
              </w:rPr>
              <w:t>P1, P3 write collusive plans that are never delivered</w:t>
            </w:r>
          </w:p>
        </w:tc>
        <w:tc>
          <w:tcPr>
            <w:tcW w:type="dxa" w:w="3120"/>
          </w:tcPr>
          <w:p>
            <w:pPr>
              <w:spacing w:after="20"/>
            </w:pPr>
            <w:r>
              <w:rPr>
                <w:sz w:val="16"/>
              </w:rPr>
              <w:t>no: exact replay null; collusive-sounding text</w:t>
            </w:r>
          </w:p>
        </w:tc>
      </w:tr>
      <w:tr>
        <w:tc>
          <w:tcPr>
            <w:tcW w:type="dxa" w:w="3120"/>
          </w:tcPr>
          <w:p>
            <w:pPr>
              <w:spacing w:after="20"/>
            </w:pPr>
            <w:r>
              <w:rPr>
                <w:rFonts w:ascii="Courier New" w:hAnsi="Courier New"/>
                <w:sz w:val="16"/>
              </w:rPr>
              <w:t>pair_hidden</w:t>
            </w:r>
          </w:p>
        </w:tc>
        <w:tc>
          <w:tcPr>
            <w:tcW w:type="dxa" w:w="3120"/>
          </w:tcPr>
          <w:p>
            <w:pPr>
              <w:spacing w:after="20"/>
            </w:pPr>
            <w:r>
              <w:rPr>
                <w:sz w:val="16"/>
              </w:rPr>
              <w:t>P1 leads, P3 follows a private plan each round</w:t>
            </w:r>
          </w:p>
        </w:tc>
        <w:tc>
          <w:tcPr>
            <w:tcW w:type="dxa" w:w="3120"/>
          </w:tcPr>
          <w:p>
            <w:pPr>
              <w:spacing w:after="20"/>
            </w:pPr>
            <w:r>
              <w:rPr>
                <w:sz w:val="16"/>
              </w:rPr>
              <w:t>yes: positive control</w:t>
            </w:r>
          </w:p>
        </w:tc>
      </w:tr>
      <w:tr>
        <w:tc>
          <w:tcPr>
            <w:tcW w:type="dxa" w:w="3120"/>
          </w:tcPr>
          <w:p>
            <w:pPr>
              <w:spacing w:after="20"/>
            </w:pPr>
            <w:r>
              <w:rPr>
                <w:rFonts w:ascii="Courier New" w:hAnsi="Courier New"/>
                <w:sz w:val="16"/>
              </w:rPr>
              <w:t>told_no_channel</w:t>
            </w:r>
          </w:p>
        </w:tc>
        <w:tc>
          <w:tcPr>
            <w:tcW w:type="dxa" w:w="3120"/>
          </w:tcPr>
          <w:p>
            <w:pPr>
              <w:spacing w:after="20"/>
            </w:pPr>
            <w:r>
              <w:rPr>
                <w:sz w:val="16"/>
              </w:rPr>
              <w:t>P1, P3 told they are a team, no channel</w:t>
            </w:r>
          </w:p>
        </w:tc>
        <w:tc>
          <w:tcPr>
            <w:tcW w:type="dxa" w:w="3120"/>
          </w:tcPr>
          <w:p>
            <w:pPr>
              <w:spacing w:after="20"/>
            </w:pPr>
            <w:r>
              <w:rPr>
                <w:sz w:val="16"/>
              </w:rPr>
              <w:t>no: policy-encoded (scope boundary)</w:t>
            </w:r>
          </w:p>
        </w:tc>
      </w:tr>
      <w:tr>
        <w:tc>
          <w:tcPr>
            <w:tcW w:type="dxa" w:w="3120"/>
          </w:tcPr>
          <w:p>
            <w:pPr>
              <w:spacing w:after="20"/>
            </w:pPr>
            <w:r>
              <w:rPr>
                <w:rFonts w:ascii="Courier New" w:hAnsi="Courier New"/>
                <w:sz w:val="16"/>
              </w:rPr>
              <w:t>vendor_public</w:t>
            </w:r>
            <w:r>
              <w:rPr>
                <w:sz w:val="16"/>
              </w:rPr>
              <w:t xml:space="preserve"> (S2)</w:t>
            </w:r>
          </w:p>
        </w:tc>
        <w:tc>
          <w:tcPr>
            <w:tcW w:type="dxa" w:w="3120"/>
          </w:tcPr>
          <w:p>
            <w:pPr>
              <w:spacing w:after="20"/>
            </w:pPr>
            <w:r>
              <w:rPr>
                <w:sz w:val="16"/>
              </w:rPr>
              <w:t>P1, P3 follow a vendor using public data + own cost</w:t>
            </w:r>
          </w:p>
        </w:tc>
        <w:tc>
          <w:tcPr>
            <w:tcW w:type="dxa" w:w="3120"/>
          </w:tcPr>
          <w:p>
            <w:pPr>
              <w:spacing w:after="20"/>
            </w:pPr>
            <w:r>
              <w:rPr>
                <w:sz w:val="16"/>
              </w:rPr>
              <w:t>no (Cendyn-like)</w:t>
            </w:r>
          </w:p>
        </w:tc>
      </w:tr>
      <w:tr>
        <w:tc>
          <w:tcPr>
            <w:tcW w:type="dxa" w:w="3120"/>
          </w:tcPr>
          <w:p>
            <w:pPr>
              <w:spacing w:after="20"/>
            </w:pPr>
            <w:r>
              <w:rPr>
                <w:rFonts w:ascii="Courier New" w:hAnsi="Courier New"/>
                <w:sz w:val="16"/>
              </w:rPr>
              <w:t>vendor_leak</w:t>
            </w:r>
            <w:r>
              <w:rPr>
                <w:sz w:val="16"/>
              </w:rPr>
              <w:t xml:space="preserve"> (S2)</w:t>
            </w:r>
          </w:p>
        </w:tc>
        <w:tc>
          <w:tcPr>
            <w:tcW w:type="dxa" w:w="3120"/>
          </w:tcPr>
          <w:p>
            <w:pPr>
              <w:spacing w:after="20"/>
            </w:pPr>
            <w:r>
              <w:rPr>
                <w:sz w:val="16"/>
              </w:rPr>
              <w:t>vendor pools P1, P3's confidential costs, rotates wins</w:t>
            </w:r>
          </w:p>
        </w:tc>
        <w:tc>
          <w:tcPr>
            <w:tcW w:type="dxa" w:w="3120"/>
          </w:tcPr>
          <w:p>
            <w:pPr>
              <w:spacing w:after="20"/>
            </w:pPr>
            <w:r>
              <w:rPr>
                <w:sz w:val="16"/>
              </w:rPr>
              <w:t>yes (Yardi-like)</w:t>
            </w:r>
          </w:p>
        </w:tc>
      </w:tr>
    </w:tbl>
    <w:p>
      <w:pPr>
        <w:spacing w:after="80" w:before="0"/>
      </w:pP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H~0~: an agent's action depends only on its policy and on the observation the auditor can replay. Under H~0~ the logged action and its re-queries are k + 1 i.i.d. draws, so the logged action is uniform on their multiset.</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Excluded.</w:t>
      </w:r>
      <w:r>
        <w:rPr>
          <w:sz w:val="20"/>
        </w:rPr>
        <w:t xml:space="preserve"> Lagged statistics are not used: an honest reaction to a partner's previous public move appears in the data but not in the null.</w:t>
      </w:r>
    </w:p>
    <w:p>
      <w:pPr>
        <w:tabs>
          <w:tab w:pos="403" w:val="left"/>
        </w:tabs>
        <w:spacing w:after="40" w:before="0"/>
        <w:ind w:left="403" w:hanging="288"/>
      </w:pPr>
      <w:r>
        <w:rPr>
          <w:sz w:val="20"/>
        </w:rPr>
        <w:t>•</w:t>
        <w:tab/>
      </w:r>
      <w:r>
        <w:rPr>
          <w:i/>
          <w:sz w:val="20"/>
        </w:rPr>
        <w:t>S2.</w:t>
      </w:r>
      <w:r>
        <w:rPr>
          <w:sz w:val="20"/>
        </w:rPr>
        <w:t xml:space="preserve"> The pre-registered statistic coarsens bids into high (90–100, the cover-bid range) versus low.</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w:t>
      </w:r>
    </w:p>
    <w:p>
      <w:pPr>
        <w:pStyle w:val="Heading2"/>
        <w:keepNext/>
        <w:spacing w:before="200" w:after="60"/>
      </w:pPr>
      <w:r>
        <w:rPr/>
        <w:t>4. Results</w:t>
      </w:r>
    </w:p>
    <w:p>
      <w:pPr>
        <w:keepNext/>
        <w:spacing w:after="40" w:before="0"/>
        <w:jc w:val="center"/>
      </w:pPr>
      <w:r>
        <w:drawing>
          <wp:inline>
            <wp:extent cx="5669280" cy="2498035"/>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669280" cy="2498035"/>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flagged. Lines are 95% Wilson intervals.</w:t>
      </w:r>
    </w:p>
    <w:p>
      <w:pPr>
        <w:pStyle w:val="Heading3"/>
        <w:keepNext/>
        <w:spacing w:before="120" w:after="60"/>
      </w:pPr>
      <w:r>
        <w:rPr/>
        <w:t>4.1 H1, supported in all three pre-registered environments, not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are statistically indistinguishable.</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 flagged by mutual information) and Haiku pairs told they are a team but given no channel (50%). On the scripted simulator,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raised false alarms: 0% of honest and 2% of shared-vendor episodes for mutual information.</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w:t>
      </w:r>
    </w:p>
    <w:p>
      <w:pPr>
        <w:tabs>
          <w:tab w:pos="403" w:val="left"/>
        </w:tabs>
        <w:spacing w:after="40" w:before="0"/>
        <w:ind w:left="403" w:hanging="288"/>
      </w:pPr>
      <w:r>
        <w:rPr>
          <w:sz w:val="20"/>
        </w:rPr>
        <w:t>•</w:t>
        <w:tab/>
      </w:r>
      <w:r>
        <w:rPr>
          <w:sz w:val="20"/>
        </w:rPr>
        <w:t>4.2% (CI 3–6%) at α = 5%, and 1.3% at α = 1%;</w:t>
      </w:r>
    </w:p>
    <w:p>
      <w:pPr>
        <w:tabs>
          <w:tab w:pos="403" w:val="left"/>
        </w:tabs>
        <w:spacing w:after="40" w:before="0"/>
        <w:ind w:left="403" w:hanging="288"/>
      </w:pPr>
      <w:r>
        <w:rPr>
          <w:sz w:val="20"/>
        </w:rPr>
        <w:t>•</w:t>
        <w:tab/>
      </w:r>
      <w:r>
        <w:rPr>
          <w:sz w:val="20"/>
        </w:rPr>
        <w:t>the pre-registered test of "false-alarm rate ≥ 10%" is rejected, p = 3.2e-07;</w:t>
      </w:r>
    </w:p>
    <w:p>
      <w:pPr>
        <w:tabs>
          <w:tab w:pos="403" w:val="left"/>
        </w:tabs>
        <w:spacing w:after="40" w:before="0"/>
        <w:ind w:left="403" w:hanging="288"/>
      </w:pPr>
      <w:r>
        <w:rPr>
          <w:sz w:val="20"/>
        </w:rPr>
        <w:t>•</w:t>
        <w:tab/>
      </w:r>
      <w:r>
        <w:rPr>
          <w:sz w:val="20"/>
        </w:rPr>
        <w:t>by model, as pre-registered: DeepSeek 4% (p = 5.6e-03), Haiku 4% (p = 5.6e-03), mixed 3% (p = 5.5e-04);</w:t>
      </w:r>
    </w:p>
    <w:p>
      <w:pPr>
        <w:tabs>
          <w:tab w:pos="403" w:val="left"/>
        </w:tabs>
        <w:spacing w:after="40" w:before="0"/>
        <w:ind w:left="403" w:hanging="288"/>
      </w:pPr>
      <w:r>
        <w:rPr>
          <w:sz w:val="20"/>
        </w:rPr>
        <w:t>•</w:t>
        <w:tab/>
      </w:r>
      <w:r>
        <w:rPr>
          <w:sz w:val="20"/>
        </w:rPr>
        <w:t>that is 42 false accusations per 1,000 honest audits, against 560 for Bonjour's rule.</w:t>
      </w:r>
    </w:p>
    <w:p>
      <w:pPr>
        <w:spacing w:after="80" w:before="0"/>
        <w:jc w:val="both"/>
      </w:pPr>
      <w:r>
        <w:rPr>
          <w:sz w:val="20"/>
        </w:rPr>
        <w:t>In the auction it flags 1% of honest episodes and 2% of shared-vendor episodes. On the validation models it flags 7/80 honest episodes.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keepNext/>
        <w:spacing w:after="40" w:before="0"/>
        <w:jc w:val="center"/>
      </w:pPr>
      <w:r>
        <w:drawing>
          <wp:inline>
            <wp:extent cx="5669280" cy="2243269"/>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669280" cy="2243269"/>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When P1 privately fixes both moves and both follow the plan, the replay test names the true pair in 35% of Haiku episodes and 10% of DeepSeek episodes.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 looks like two independent players: 0.06 bits of dependence against 0.39 for Haiku.</w:t>
      </w:r>
    </w:p>
    <w:p>
      <w:pPr>
        <w:spacing w:after="80" w:before="0"/>
        <w:jc w:val="both"/>
      </w:pPr>
      <w:r>
        <w:rPr>
          <w:sz w:val="20"/>
        </w:rPr>
        <w:t>Mutual information flags 92% of Haiku hidden-channel episodes, but it also flags 69% of honest Haiku episodes. Much of what it calls coordination is the shared model, which the replay discounts (Fig. 3, left).</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the auction below is where collusion is economically meaningful. In this game, the DeepSeek coordination that the test mostly missed also earned the pair nothing. We do not claim this in general. A channel can pay by changing one agent's own action (a leaked cost moves one bid) without the same-round pairwise dependence our statistic measures,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2%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58% of episodes with a bid-rotation cartel over a private channel.</w:t>
      </w:r>
    </w:p>
    <w:p>
      <w:pPr>
        <w:spacing w:after="80" w:before="0"/>
        <w:jc w:val="both"/>
      </w:pPr>
      <w:r>
        <w:rPr>
          <w:b/>
          <w:sz w:val="20"/>
        </w:rPr>
        <w:t>Table 2. One real `vendor_leak` episode</w:t>
      </w:r>
      <w:r>
        <w:rPr>
          <w:sz w:val="20"/>
        </w:rPr>
        <w:t xml:space="preserve"> (seed 200020, first 6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c>
          <w:tcPr>
            <w:tcW w:type="dxa" w:w="1872"/>
          </w:tcPr>
          <w:p>
            <w:pPr>
              <w:spacing w:after="20"/>
            </w:pPr>
            <w:r>
              <w:rPr>
                <w:b/>
                <w:sz w:val="16"/>
              </w:rPr>
              <w:t>Round</w:t>
            </w:r>
          </w:p>
        </w:tc>
        <w:tc>
          <w:tcPr>
            <w:tcW w:type="dxa" w:w="1872"/>
          </w:tcPr>
          <w:p>
            <w:pPr>
              <w:spacing w:after="20"/>
            </w:pPr>
            <w:r>
              <w:rPr>
                <w:b/>
                <w:sz w:val="16"/>
              </w:rPr>
              <w:t>Costs P1 / P2 / P3 / P4</w:t>
            </w:r>
          </w:p>
        </w:tc>
        <w:tc>
          <w:tcPr>
            <w:tcW w:type="dxa" w:w="1872"/>
          </w:tcPr>
          <w:p>
            <w:pPr>
              <w:spacing w:after="20"/>
            </w:pPr>
            <w:r>
              <w:rPr>
                <w:b/>
                <w:sz w:val="16"/>
              </w:rPr>
              <w:t>Vendor designates</w:t>
            </w:r>
          </w:p>
        </w:tc>
        <w:tc>
          <w:tcPr>
            <w:tcW w:type="dxa" w:w="1872"/>
          </w:tcPr>
          <w:p>
            <w:pPr>
              <w:spacing w:after="20"/>
            </w:pPr>
            <w:r>
              <w:rPr>
                <w:b/>
                <w:sz w:val="16"/>
              </w:rPr>
              <w:t>Bids P1 / P2 / P3 / P4</w:t>
            </w:r>
          </w:p>
        </w:tc>
        <w:tc>
          <w:tcPr>
            <w:tcW w:type="dxa" w:w="1872"/>
          </w:tcPr>
          <w:p>
            <w:pPr>
              <w:spacing w:after="20"/>
            </w:pPr>
            <w:r>
              <w:rPr>
                <w:b/>
                <w:sz w:val="16"/>
              </w:rPr>
              <w:t>Lowest bid</w:t>
            </w:r>
          </w:p>
        </w:tc>
      </w:tr>
      <w:tr>
        <w:tc>
          <w:tcPr>
            <w:tcW w:type="dxa" w:w="1872"/>
          </w:tcPr>
          <w:p>
            <w:pPr>
              <w:spacing w:after="20"/>
            </w:pPr>
            <w:r>
              <w:rPr>
                <w:sz w:val="16"/>
              </w:rPr>
              <w:t>1</w:t>
            </w:r>
          </w:p>
        </w:tc>
        <w:tc>
          <w:tcPr>
            <w:tcW w:type="dxa" w:w="1872"/>
          </w:tcPr>
          <w:p>
            <w:pPr>
              <w:spacing w:after="20"/>
            </w:pPr>
            <w:r>
              <w:rPr>
                <w:sz w:val="16"/>
              </w:rPr>
              <w:t>70 / 50 / 70 / 60</w:t>
            </w:r>
          </w:p>
        </w:tc>
        <w:tc>
          <w:tcPr>
            <w:tcW w:type="dxa" w:w="1872"/>
          </w:tcPr>
          <w:p>
            <w:pPr>
              <w:spacing w:after="20"/>
            </w:pPr>
            <w:r>
              <w:rPr>
                <w:sz w:val="16"/>
              </w:rPr>
              <w:t>P1</w:t>
            </w:r>
          </w:p>
        </w:tc>
        <w:tc>
          <w:tcPr>
            <w:tcW w:type="dxa" w:w="1872"/>
          </w:tcPr>
          <w:p>
            <w:pPr>
              <w:spacing w:after="20"/>
            </w:pPr>
            <w:r>
              <w:rPr>
                <w:b/>
                <w:sz w:val="16"/>
              </w:rPr>
              <w:t>90</w:t>
            </w:r>
            <w:r>
              <w:rPr>
                <w:sz w:val="16"/>
              </w:rPr>
              <w:t xml:space="preserve"> / 60 / </w:t>
            </w:r>
            <w:r>
              <w:rPr>
                <w:b/>
                <w:sz w:val="16"/>
              </w:rPr>
              <w:t>100</w:t>
            </w:r>
            <w:r>
              <w:rPr>
                <w:sz w:val="16"/>
              </w:rPr>
              <w:t xml:space="preserve"> / 60</w:t>
            </w:r>
          </w:p>
        </w:tc>
        <w:tc>
          <w:tcPr>
            <w:tcW w:type="dxa" w:w="1872"/>
          </w:tcPr>
          <w:p>
            <w:pPr>
              <w:spacing w:after="20"/>
            </w:pPr>
            <w:r>
              <w:rPr>
                <w:sz w:val="16"/>
              </w:rPr>
              <w:t>60 (P2, P4)</w:t>
            </w:r>
          </w:p>
        </w:tc>
      </w:tr>
      <w:tr>
        <w:tc>
          <w:tcPr>
            <w:tcW w:type="dxa" w:w="1872"/>
          </w:tcPr>
          <w:p>
            <w:pPr>
              <w:spacing w:after="20"/>
            </w:pPr>
            <w:r>
              <w:rPr>
                <w:sz w:val="16"/>
              </w:rPr>
              <w:t>2</w:t>
            </w:r>
          </w:p>
        </w:tc>
        <w:tc>
          <w:tcPr>
            <w:tcW w:type="dxa" w:w="1872"/>
          </w:tcPr>
          <w:p>
            <w:pPr>
              <w:spacing w:after="20"/>
            </w:pPr>
            <w:r>
              <w:rPr>
                <w:sz w:val="16"/>
              </w:rPr>
              <w:t>70 / 50 / 50 / 70</w:t>
            </w:r>
          </w:p>
        </w:tc>
        <w:tc>
          <w:tcPr>
            <w:tcW w:type="dxa" w:w="1872"/>
          </w:tcPr>
          <w:p>
            <w:pPr>
              <w:spacing w:after="20"/>
            </w:pPr>
            <w:r>
              <w:rPr>
                <w:sz w:val="16"/>
              </w:rPr>
              <w:t>P3</w:t>
            </w:r>
          </w:p>
        </w:tc>
        <w:tc>
          <w:tcPr>
            <w:tcW w:type="dxa" w:w="1872"/>
          </w:tcPr>
          <w:p>
            <w:pPr>
              <w:spacing w:after="20"/>
            </w:pPr>
            <w:r>
              <w:rPr>
                <w:b/>
                <w:sz w:val="16"/>
              </w:rPr>
              <w:t>100</w:t>
            </w:r>
            <w:r>
              <w:rPr>
                <w:sz w:val="16"/>
              </w:rPr>
              <w:t xml:space="preserve"> / 60 / </w:t>
            </w:r>
            <w:r>
              <w:rPr>
                <w:b/>
                <w:sz w:val="16"/>
              </w:rPr>
              <w:t>70</w:t>
            </w:r>
            <w:r>
              <w:rPr>
                <w:sz w:val="16"/>
              </w:rPr>
              <w:t xml:space="preserve"> / 70</w:t>
            </w:r>
          </w:p>
        </w:tc>
        <w:tc>
          <w:tcPr>
            <w:tcW w:type="dxa" w:w="1872"/>
          </w:tcPr>
          <w:p>
            <w:pPr>
              <w:spacing w:after="20"/>
            </w:pPr>
            <w:r>
              <w:rPr>
                <w:sz w:val="16"/>
              </w:rPr>
              <w:t>60 (P2)</w:t>
            </w:r>
          </w:p>
        </w:tc>
      </w:tr>
      <w:tr>
        <w:tc>
          <w:tcPr>
            <w:tcW w:type="dxa" w:w="1872"/>
          </w:tcPr>
          <w:p>
            <w:pPr>
              <w:spacing w:after="20"/>
            </w:pPr>
            <w:r>
              <w:rPr>
                <w:sz w:val="16"/>
              </w:rPr>
              <w:t>3</w:t>
            </w:r>
          </w:p>
        </w:tc>
        <w:tc>
          <w:tcPr>
            <w:tcW w:type="dxa" w:w="1872"/>
          </w:tcPr>
          <w:p>
            <w:pPr>
              <w:spacing w:after="20"/>
            </w:pPr>
            <w:r>
              <w:rPr>
                <w:sz w:val="16"/>
              </w:rPr>
              <w:t>60 / 70 / 70 / 70</w:t>
            </w:r>
          </w:p>
        </w:tc>
        <w:tc>
          <w:tcPr>
            <w:tcW w:type="dxa" w:w="1872"/>
          </w:tcPr>
          <w:p>
            <w:pPr>
              <w:spacing w:after="20"/>
            </w:pPr>
            <w:r>
              <w:rPr>
                <w:sz w:val="16"/>
              </w:rPr>
              <w:t>P1</w:t>
            </w:r>
          </w:p>
        </w:tc>
        <w:tc>
          <w:tcPr>
            <w:tcW w:type="dxa" w:w="1872"/>
          </w:tcPr>
          <w:p>
            <w:pPr>
              <w:spacing w:after="20"/>
            </w:pPr>
            <w:r>
              <w:rPr>
                <w:b/>
                <w:sz w:val="16"/>
              </w:rPr>
              <w:t>80</w:t>
            </w:r>
            <w:r>
              <w:rPr>
                <w:sz w:val="16"/>
              </w:rPr>
              <w:t xml:space="preserve"> / 100 / </w:t>
            </w:r>
            <w:r>
              <w:rPr>
                <w:b/>
                <w:sz w:val="16"/>
              </w:rPr>
              <w:t>100</w:t>
            </w:r>
            <w:r>
              <w:rPr>
                <w:sz w:val="16"/>
              </w:rPr>
              <w:t xml:space="preserve"> / 70</w:t>
            </w:r>
          </w:p>
        </w:tc>
        <w:tc>
          <w:tcPr>
            <w:tcW w:type="dxa" w:w="1872"/>
          </w:tcPr>
          <w:p>
            <w:pPr>
              <w:spacing w:after="20"/>
            </w:pPr>
            <w:r>
              <w:rPr>
                <w:sz w:val="16"/>
              </w:rPr>
              <w:t>70 (P4)</w:t>
            </w:r>
          </w:p>
        </w:tc>
      </w:tr>
      <w:tr>
        <w:tc>
          <w:tcPr>
            <w:tcW w:type="dxa" w:w="1872"/>
          </w:tcPr>
          <w:p>
            <w:pPr>
              <w:spacing w:after="20"/>
            </w:pPr>
            <w:r>
              <w:rPr>
                <w:sz w:val="16"/>
              </w:rPr>
              <w:t>4</w:t>
            </w:r>
          </w:p>
        </w:tc>
        <w:tc>
          <w:tcPr>
            <w:tcW w:type="dxa" w:w="1872"/>
          </w:tcPr>
          <w:p>
            <w:pPr>
              <w:spacing w:after="20"/>
            </w:pPr>
            <w:r>
              <w:rPr>
                <w:sz w:val="16"/>
              </w:rPr>
              <w:t>60 / 60 / 50 / 70</w:t>
            </w:r>
          </w:p>
        </w:tc>
        <w:tc>
          <w:tcPr>
            <w:tcW w:type="dxa" w:w="1872"/>
          </w:tcPr>
          <w:p>
            <w:pPr>
              <w:spacing w:after="20"/>
            </w:pPr>
            <w:r>
              <w:rPr>
                <w:sz w:val="16"/>
              </w:rPr>
              <w:t>P3</w:t>
            </w:r>
          </w:p>
        </w:tc>
        <w:tc>
          <w:tcPr>
            <w:tcW w:type="dxa" w:w="1872"/>
          </w:tcPr>
          <w:p>
            <w:pPr>
              <w:spacing w:after="20"/>
            </w:pPr>
            <w:r>
              <w:rPr>
                <w:b/>
                <w:sz w:val="16"/>
              </w:rPr>
              <w:t>100</w:t>
            </w:r>
            <w:r>
              <w:rPr>
                <w:sz w:val="16"/>
              </w:rPr>
              <w:t xml:space="preserve"> / 70 / </w:t>
            </w:r>
            <w:r>
              <w:rPr>
                <w:b/>
                <w:sz w:val="16"/>
              </w:rPr>
              <w:t>70</w:t>
            </w:r>
            <w:r>
              <w:rPr>
                <w:sz w:val="16"/>
              </w:rPr>
              <w:t xml:space="preserve"> / 80</w:t>
            </w:r>
          </w:p>
        </w:tc>
        <w:tc>
          <w:tcPr>
            <w:tcW w:type="dxa" w:w="1872"/>
          </w:tcPr>
          <w:p>
            <w:pPr>
              <w:spacing w:after="20"/>
            </w:pPr>
            <w:r>
              <w:rPr>
                <w:sz w:val="16"/>
              </w:rPr>
              <w:t>70 (P2, P3)</w:t>
            </w:r>
          </w:p>
        </w:tc>
      </w:tr>
      <w:tr>
        <w:tc>
          <w:tcPr>
            <w:tcW w:type="dxa" w:w="1872"/>
          </w:tcPr>
          <w:p>
            <w:pPr>
              <w:spacing w:after="20"/>
            </w:pPr>
            <w:r>
              <w:rPr>
                <w:sz w:val="16"/>
              </w:rPr>
              <w:t>5</w:t>
            </w:r>
          </w:p>
        </w:tc>
        <w:tc>
          <w:tcPr>
            <w:tcW w:type="dxa" w:w="1872"/>
          </w:tcPr>
          <w:p>
            <w:pPr>
              <w:spacing w:after="20"/>
            </w:pPr>
            <w:r>
              <w:rPr>
                <w:sz w:val="16"/>
              </w:rPr>
              <w:t>70 / 60 / 50 / 70</w:t>
            </w:r>
          </w:p>
        </w:tc>
        <w:tc>
          <w:tcPr>
            <w:tcW w:type="dxa" w:w="1872"/>
          </w:tcPr>
          <w:p>
            <w:pPr>
              <w:spacing w:after="20"/>
            </w:pPr>
            <w:r>
              <w:rPr>
                <w:sz w:val="16"/>
              </w:rPr>
              <w:t>P3</w:t>
            </w:r>
          </w:p>
        </w:tc>
        <w:tc>
          <w:tcPr>
            <w:tcW w:type="dxa" w:w="1872"/>
          </w:tcPr>
          <w:p>
            <w:pPr>
              <w:spacing w:after="20"/>
            </w:pPr>
            <w:r>
              <w:rPr>
                <w:b/>
                <w:sz w:val="16"/>
              </w:rPr>
              <w:t>100</w:t>
            </w:r>
            <w:r>
              <w:rPr>
                <w:sz w:val="16"/>
              </w:rPr>
              <w:t xml:space="preserve"> / 60 / </w:t>
            </w:r>
            <w:r>
              <w:rPr>
                <w:b/>
                <w:sz w:val="16"/>
              </w:rPr>
              <w:t>70</w:t>
            </w:r>
            <w:r>
              <w:rPr>
                <w:sz w:val="16"/>
              </w:rPr>
              <w:t xml:space="preserve"> / 80</w:t>
            </w:r>
          </w:p>
        </w:tc>
        <w:tc>
          <w:tcPr>
            <w:tcW w:type="dxa" w:w="1872"/>
          </w:tcPr>
          <w:p>
            <w:pPr>
              <w:spacing w:after="20"/>
            </w:pPr>
            <w:r>
              <w:rPr>
                <w:sz w:val="16"/>
              </w:rPr>
              <w:t>60 (P2)</w:t>
            </w:r>
          </w:p>
        </w:tc>
      </w:tr>
      <w:tr>
        <w:tc>
          <w:tcPr>
            <w:tcW w:type="dxa" w:w="1872"/>
          </w:tcPr>
          <w:p>
            <w:pPr>
              <w:spacing w:after="20"/>
            </w:pPr>
            <w:r>
              <w:rPr>
                <w:sz w:val="16"/>
              </w:rPr>
              <w:t>6</w:t>
            </w:r>
          </w:p>
        </w:tc>
        <w:tc>
          <w:tcPr>
            <w:tcW w:type="dxa" w:w="1872"/>
          </w:tcPr>
          <w:p>
            <w:pPr>
              <w:spacing w:after="20"/>
            </w:pPr>
            <w:r>
              <w:rPr>
                <w:sz w:val="16"/>
              </w:rPr>
              <w:t>50 / 50 / 50 / 60</w:t>
            </w:r>
          </w:p>
        </w:tc>
        <w:tc>
          <w:tcPr>
            <w:tcW w:type="dxa" w:w="1872"/>
          </w:tcPr>
          <w:p>
            <w:pPr>
              <w:spacing w:after="20"/>
            </w:pPr>
            <w:r>
              <w:rPr>
                <w:sz w:val="16"/>
              </w:rPr>
              <w:t>P3</w:t>
            </w:r>
          </w:p>
        </w:tc>
        <w:tc>
          <w:tcPr>
            <w:tcW w:type="dxa" w:w="1872"/>
          </w:tcPr>
          <w:p>
            <w:pPr>
              <w:spacing w:after="20"/>
            </w:pPr>
            <w:r>
              <w:rPr>
                <w:b/>
                <w:sz w:val="16"/>
              </w:rPr>
              <w:t>100</w:t>
            </w:r>
            <w:r>
              <w:rPr>
                <w:sz w:val="16"/>
              </w:rPr>
              <w:t xml:space="preserve"> / 70 / </w:t>
            </w:r>
            <w:r>
              <w:rPr>
                <w:b/>
                <w:sz w:val="16"/>
              </w:rPr>
              <w:t>70</w:t>
            </w:r>
            <w:r>
              <w:rPr>
                <w:sz w:val="16"/>
              </w:rPr>
              <w:t xml:space="preserve"> / 70</w:t>
            </w:r>
          </w:p>
        </w:tc>
        <w:tc>
          <w:tcPr>
            <w:tcW w:type="dxa" w:w="1872"/>
          </w:tcPr>
          <w:p>
            <w:pPr>
              <w:spacing w:after="20"/>
            </w:pPr>
            <w:r>
              <w:rPr>
                <w:sz w:val="16"/>
              </w:rPr>
              <w:t>70 (P2, P3, P4)</w:t>
            </w:r>
          </w:p>
        </w:tc>
      </w:tr>
    </w:tbl>
    <w:p>
      <w:pPr>
        <w:spacing w:after="80" w:before="0"/>
      </w:pPr>
    </w:p>
    <w:p>
      <w:pPr>
        <w:spacing w:after="80" w:before="0"/>
        <w:jc w:val="both"/>
      </w:pPr>
      <w:r>
        <w:rPr>
          <w:sz w:val="20"/>
        </w:rPr>
        <w:t xml:space="preserve">This is the distinction two recent US cases turn on. In </w:t>
      </w:r>
      <w:r>
        <w:rPr>
          <w:i/>
          <w:sz w:val="20"/>
        </w:rPr>
        <w:t>Gibson v. Cendyn</w:t>
      </w:r>
      <w:r>
        <w:rPr>
          <w:sz w:val="20"/>
        </w:rPr>
        <w:t xml:space="preserve"> (9th Cir. 2025, dismissal affirmed), "independent parallel adoption of algorithmic pricing software does not constitute unlawful price-fixing". </w:t>
      </w:r>
      <w:r>
        <w:rPr>
          <w:i/>
          <w:sz w:val="20"/>
        </w:rPr>
        <w:t>Duffy v. Yardi</w:t>
      </w:r>
      <w:r>
        <w:rPr>
          <w:sz w:val="20"/>
        </w:rPr>
        <w:t xml:space="preserve"> (W.D. Wash. 2024) alleged that competitors pooled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 (Haiku) of episodes. It cannot do otherwise: the team instruction is part of the policy that the replay reproduces. That case needs an audit of the policy itself [9, 17], and we say so rather than claim it.</w:t>
      </w:r>
    </w:p>
    <w:p>
      <w:pPr>
        <w:pStyle w:val="Heading3"/>
        <w:keepNext/>
        <w:spacing w:before="120" w:after="60"/>
      </w:pPr>
      <w:r>
        <w:rPr/>
        <w:t>4.5 H4: a judge reading messages flags undelivered plans; on actions alone it is weaker than the replay test</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9% of honest ones. Its AUROC for hidden-channel versus honest episodes is 0.84 (Haiku) and 0.47 (DeepSeek), against 0.77 and 0.55 for the replay test.</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19 episodes per cell) sees the Haiku pattern from actions alone. It flags 90% of hidden-channel episodes (AUROC 0.83), but also 26%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7% and 8% of those.</w:t>
      </w:r>
    </w:p>
    <w:p>
      <w:pPr>
        <w:tabs>
          <w:tab w:pos="403" w:val="left"/>
        </w:tabs>
        <w:spacing w:after="40" w:before="0"/>
        <w:ind w:left="403" w:hanging="288"/>
      </w:pPr>
      <w:r>
        <w:rPr>
          <w:sz w:val="20"/>
        </w:rPr>
        <w:t>•</w:t>
        <w:tab/>
      </w:r>
      <w:r>
        <w:rPr>
          <w:b/>
          <w:sz w:val="20"/>
        </w:rPr>
        <w:t>Cost:</w:t>
      </w:r>
      <w:r>
        <w:rPr>
          <w:sz w:val="20"/>
        </w:rPr>
        <w:t xml:space="preserve"> the test adds 2 model calls per agent-round, about $0.014 per 30-round, 4-agent audit at DeepSeek prices. The whole study used 452,074 calls for $38.63.</w:t>
      </w:r>
    </w:p>
    <w:p>
      <w:pPr>
        <w:pStyle w:val="Heading3"/>
        <w:keepNext/>
        <w:spacing w:before="120" w:after="60"/>
      </w:pPr>
      <w:r>
        <w:rPr/>
        <w:t>4.6 Exploratory: an anytime-valid version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so its false-alarm rate is at most α at any stopping time, even under history feedback. It uses the same re-queries; the formula is in Appendix C.</w:t>
      </w:r>
    </w:p>
    <w:p>
      <w:pPr>
        <w:tabs>
          <w:tab w:pos="403" w:val="left"/>
        </w:tabs>
        <w:spacing w:after="40" w:before="0"/>
        <w:ind w:left="403" w:hanging="288"/>
      </w:pPr>
      <w:r>
        <w:rPr>
          <w:sz w:val="20"/>
        </w:rPr>
        <w:t>•</w:t>
        <w:tab/>
      </w:r>
      <w:r>
        <w:rPr>
          <w:b/>
          <w:sz w:val="20"/>
        </w:rPr>
        <w:t>Honest episodes:</w:t>
      </w:r>
      <w:r>
        <w:rPr>
          <w:sz w:val="20"/>
        </w:rPr>
        <w:t xml:space="preserve"> on the simulator its false-alarm rate stays at or below 3.3% up to 120 rounds; on honest LLM episodes it is 0.2%.</w:t>
      </w:r>
    </w:p>
    <w:p>
      <w:pPr>
        <w:tabs>
          <w:tab w:pos="403" w:val="left"/>
        </w:tabs>
        <w:spacing w:after="40" w:before="0"/>
        <w:ind w:left="403" w:hanging="288"/>
      </w:pPr>
      <w:r>
        <w:rPr>
          <w:sz w:val="20"/>
        </w:rPr>
        <w:t>•</w:t>
        <w:tab/>
      </w:r>
      <w:r>
        <w:rPr>
          <w:b/>
          <w:sz w:val="20"/>
        </w:rPr>
        <w:t>Haiku hidden-channel pairs:</w:t>
      </w:r>
      <w:r>
        <w:rPr>
          <w:sz w:val="20"/>
        </w:rPr>
        <w:t xml:space="preserve"> it names the pair in 85% of episodes, after a median of 19 rounds (fixed-horizon test: 35%).</w:t>
      </w:r>
    </w:p>
    <w:p>
      <w:pPr>
        <w:tabs>
          <w:tab w:pos="403" w:val="left"/>
        </w:tabs>
        <w:spacing w:after="40" w:before="0"/>
        <w:ind w:left="403" w:hanging="288"/>
      </w:pPr>
      <w:r>
        <w:rPr>
          <w:sz w:val="20"/>
        </w:rPr>
        <w:t>•</w:t>
        <w:tab/>
      </w:r>
      <w:r>
        <w:rPr>
          <w:b/>
          <w:sz w:val="20"/>
        </w:rPr>
        <w:t>Auction vendor leak:</w:t>
      </w:r>
      <w:r>
        <w:rPr>
          <w:sz w:val="20"/>
        </w:rPr>
        <w:t xml:space="preserve"> it names the pair in only 50% of episodes (fixed-horizon test: 92%).</w:t>
      </w:r>
    </w:p>
    <w:p>
      <w:pPr>
        <w:spacing w:after="80" w:before="0"/>
        <w:jc w:val="both"/>
      </w:pPr>
      <w:r>
        <w:rPr>
          <w:sz w:val="20"/>
        </w:rPr>
        <w:t>The two tests have complementary strengths. An auditor can run the sequential one live and stop at the first alarm.</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audit here).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carry information that their own policies, given the public record, cannot produce. It is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tc>
      </w:tr>
    </w:tbl>
    <w:p>
      <w:pPr>
        <w:spacing w:after="80" w:before="0"/>
      </w:pPr>
    </w:p>
    <w:p>
      <w:pPr>
        <w:pStyle w:val="Heading2"/>
        <w:keepNext/>
        <w:spacing w:before="200" w:after="60"/>
      </w:pPr>
      <w:r>
        <w:rPr/>
        <w:t>5. Discussion and Limitations</w:t>
      </w:r>
    </w:p>
    <w:p>
      <w:pPr>
        <w:spacing w:after="80" w:before="0"/>
        <w:jc w:val="both"/>
      </w:pPr>
      <w:r>
        <w:rPr>
          <w:sz w:val="20"/>
        </w:rPr>
        <w:t>As agent fleets converge on a few base models, dependence between their actions becomes the default rather than evidence. Detectors calibrated against "independent" behaviour will flood security teams with alerts and give regulators false grounds. Calibrating against the agents' own replay keeps the false-alarm rate in the auditor's hands. The question it answers is the one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Calibration of the pre-registered test under history feedback is shown empirically, not proven. The exploratory sequential version (§4.6) keeps its level under feedback, but it was added after the freeze.</w:t>
      </w:r>
    </w:p>
    <w:p>
      <w:pPr>
        <w:tabs>
          <w:tab w:pos="403" w:val="left"/>
        </w:tabs>
        <w:spacing w:after="40" w:before="0"/>
        <w:ind w:left="403" w:hanging="288"/>
      </w:pPr>
      <w:r>
        <w:rPr>
          <w:sz w:val="20"/>
        </w:rPr>
        <w:t>3.</w:t>
        <w:tab/>
      </w:r>
      <w:r>
        <w:rPr>
          <w:sz w:val="20"/>
        </w:rPr>
        <w:t>Power depends on how strongly the channel shapes actions. DeepSeek's mismatched plans and weakly coordinated pairs need long logs (Fig. 3).</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tabs>
          <w:tab w:pos="403" w:val="left"/>
        </w:tabs>
        <w:spacing w:after="40" w:before="0"/>
        <w:ind w:left="403" w:hanging="288"/>
      </w:pPr>
      <w:r>
        <w:rPr>
          <w:sz w:val="20"/>
        </w:rPr>
        <w:t>6.</w:t>
        <w:tab/>
      </w:r>
      <w:r>
        <w:rPr>
          <w:sz w:val="20"/>
        </w:rPr>
        <w:t>OpenRouter routing can mix provider quantisations. Logged and re-queried draws share the routing, which preserves exchangeability but adds noise.</w:t>
      </w:r>
    </w:p>
    <w:p>
      <w:pPr>
        <w:spacing w:after="80" w:before="0"/>
        <w:jc w:val="both"/>
      </w:pPr>
      <w:r>
        <w:rPr>
          <w:b/>
          <w:sz w:val="20"/>
        </w:rPr>
        <w:t>Future work:</w:t>
      </w:r>
      <w:r>
        <w:rPr>
          <w:sz w:val="20"/>
        </w:rPr>
        <w:t xml:space="preserve"> a pre-registered test of the sequential version as a live monitor, statistics for varied hidden plans and single-agent leaks, adversaries trained against the test, and pairing with a policy audit.</w:t>
      </w:r>
    </w:p>
    <w:p>
      <w:pPr>
        <w:pStyle w:val="Heading2"/>
        <w:keepNext/>
        <w:spacing w:before="200" w:after="60"/>
      </w:pPr>
      <w:r>
        <w:rPr/>
        <w:t>6. Conclusion</w:t>
      </w:r>
    </w:p>
    <w:p>
      <w:pPr>
        <w:spacing w:after="80" w:before="0"/>
        <w:jc w:val="both"/>
      </w:pPr>
      <w:r>
        <w:rPr>
          <w:sz w:val="20"/>
        </w:rPr>
        <w:t>Agents that share a model look like a cartel to standard dependence tests. Replaying each agent on what it saw, minus the channel under audit, gives a test whose false-alarm rate the auditor controls. It names pairs whose hidden information shapes their moves, and it separates a public-data vendor from pooled confidential data. Coordination written into the policy itself is outside what it can see.</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Pre-sprint and sprint work are separated in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Xu et al.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Agrawal et al. Evaluating LLM agent collusion in double auctions. arXiv:2507.01413, 2025.</w:t>
      </w:r>
    </w:p>
    <w:p>
      <w:pPr>
        <w:tabs>
          <w:tab w:pos="403" w:val="left"/>
        </w:tabs>
        <w:spacing w:after="40" w:before="0"/>
        <w:ind w:left="403" w:hanging="288"/>
      </w:pPr>
      <w:r>
        <w:rPr>
          <w:sz w:val="20"/>
        </w:rPr>
        <w:t>8.</w:t>
        <w:tab/>
      </w:r>
      <w:r>
        <w:rPr>
          <w:sz w:val="20"/>
        </w:rPr>
        <w:t>Nakamura et al.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et al. Regulation of algorithmic collusion. arXiv:2501.09740, 2024.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ORBIT: A framework for multi-agent security evaluations.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 2018; E. Lehmann, J. Romano. Testing Statistical Hypotheses, ch. 15.</w:t>
      </w:r>
    </w:p>
    <w:p>
      <w:pPr>
        <w:tabs>
          <w:tab w:pos="403" w:val="left"/>
        </w:tabs>
        <w:spacing w:after="40" w:before="0"/>
        <w:ind w:left="403" w:hanging="288"/>
      </w:pPr>
      <w:r>
        <w:rPr>
          <w:sz w:val="20"/>
        </w:rPr>
        <w:t>17.</w:t>
        <w:tab/>
      </w:r>
      <w:r>
        <w:rPr>
          <w:sz w:val="20"/>
        </w:rPr>
        <w:t>T. Berrett, Y. Wang, R. Barber, R. Samworth. The conditional permutation test for independence while controlling for confounders. JRSS-B 82(1), 2020.</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505085"/>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505085"/>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e~t~ = q~t~(a~i~, a~j~) / mean over x in pool~i~, y in pool~j~ of q~t~(x, y). Here q~t~ is a joint distribution predicted from earlier rounds: Krichevsky–Trofimov counts mixed 50/50 with uniform. Under H~0~, given the past and the round's pool multisets, the logged pair is uniform over the pool positions, so E[e~t~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92% of 60-round logs (fixed-horizon test: 73%), and one at 80% after a median of 20 rounds.</w:t>
      </w: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 After seeing the sequential results on the LLM data we tried two more betting functions: one on the interaction (joint frequency over the product of the marginals) and a 50/50 mixture. §4.5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c>
          <w:tcPr>
            <w:tcW w:type="dxa" w:w="1560"/>
          </w:tcPr>
          <w:p>
            <w:pPr>
              <w:spacing w:after="20"/>
            </w:pPr>
            <w:r>
              <w:rPr>
                <w:b/>
                <w:sz w:val="16"/>
              </w:rPr>
              <w:t>Betting function</w:t>
            </w:r>
          </w:p>
        </w:tc>
        <w:tc>
          <w:tcPr>
            <w:tcW w:type="dxa" w:w="1560"/>
          </w:tcPr>
          <w:p>
            <w:pPr>
              <w:spacing w:after="20"/>
            </w:pPr>
            <w:r>
              <w:rPr>
                <w:b/>
                <w:sz w:val="16"/>
              </w:rPr>
              <w:t>Haiku hidden channel</w:t>
            </w:r>
          </w:p>
        </w:tc>
        <w:tc>
          <w:tcPr>
            <w:tcW w:type="dxa" w:w="1560"/>
          </w:tcPr>
          <w:p>
            <w:pPr>
              <w:spacing w:after="20"/>
            </w:pPr>
            <w:r>
              <w:rPr>
                <w:b/>
                <w:sz w:val="16"/>
              </w:rPr>
              <w:t>DeepSeek hidden channel</w:t>
            </w:r>
          </w:p>
        </w:tc>
        <w:tc>
          <w:tcPr>
            <w:tcW w:type="dxa" w:w="1560"/>
          </w:tcPr>
          <w:p>
            <w:pPr>
              <w:spacing w:after="20"/>
            </w:pPr>
            <w:r>
              <w:rPr>
                <w:b/>
                <w:sz w:val="16"/>
              </w:rPr>
              <w:t>Auction vendor leak</w:t>
            </w:r>
          </w:p>
        </w:tc>
        <w:tc>
          <w:tcPr>
            <w:tcW w:type="dxa" w:w="1560"/>
          </w:tcPr>
          <w:p>
            <w:pPr>
              <w:spacing w:after="20"/>
            </w:pPr>
            <w:r>
              <w:rPr>
                <w:b/>
                <w:sz w:val="16"/>
              </w:rPr>
              <w:t>Auction cartel</w:t>
            </w:r>
          </w:p>
        </w:tc>
        <w:tc>
          <w:tcPr>
            <w:tcW w:type="dxa" w:w="1560"/>
          </w:tcPr>
          <w:p>
            <w:pPr>
              <w:spacing w:after="20"/>
            </w:pPr>
            <w:r>
              <w:rPr>
                <w:b/>
                <w:sz w:val="16"/>
              </w:rPr>
              <w:t>Honest (false alarms)</w:t>
            </w:r>
          </w:p>
        </w:tc>
      </w:tr>
      <w:tr>
        <w:tc>
          <w:tcPr>
            <w:tcW w:type="dxa" w:w="1560"/>
          </w:tcPr>
          <w:p>
            <w:pPr>
              <w:spacing w:after="20"/>
            </w:pPr>
            <w:r>
              <w:rPr>
                <w:sz w:val="16"/>
              </w:rPr>
              <w:t>joint (run first, reported)</w:t>
            </w:r>
          </w:p>
        </w:tc>
        <w:tc>
          <w:tcPr>
            <w:tcW w:type="dxa" w:w="1560"/>
          </w:tcPr>
          <w:p>
            <w:pPr>
              <w:spacing w:after="20"/>
            </w:pPr>
            <w:r>
              <w:rPr>
                <w:sz w:val="16"/>
              </w:rPr>
              <w:t>85.0%</w:t>
            </w:r>
          </w:p>
        </w:tc>
        <w:tc>
          <w:tcPr>
            <w:tcW w:type="dxa" w:w="1560"/>
          </w:tcPr>
          <w:p>
            <w:pPr>
              <w:spacing w:after="20"/>
            </w:pPr>
            <w:r>
              <w:rPr>
                <w:sz w:val="16"/>
              </w:rPr>
              <w:t>0.0%</w:t>
            </w:r>
          </w:p>
        </w:tc>
        <w:tc>
          <w:tcPr>
            <w:tcW w:type="dxa" w:w="1560"/>
          </w:tcPr>
          <w:p>
            <w:pPr>
              <w:spacing w:after="20"/>
            </w:pPr>
            <w:r>
              <w:rPr>
                <w:sz w:val="16"/>
              </w:rPr>
              <w:t>50.0%</w:t>
            </w:r>
          </w:p>
        </w:tc>
        <w:tc>
          <w:tcPr>
            <w:tcW w:type="dxa" w:w="1560"/>
          </w:tcPr>
          <w:p>
            <w:pPr>
              <w:spacing w:after="20"/>
            </w:pPr>
            <w:r>
              <w:rPr>
                <w:sz w:val="16"/>
              </w:rPr>
              <w:t>2.5%</w:t>
            </w:r>
          </w:p>
        </w:tc>
        <w:tc>
          <w:tcPr>
            <w:tcW w:type="dxa" w:w="1560"/>
          </w:tcPr>
          <w:p>
            <w:pPr>
              <w:spacing w:after="20"/>
            </w:pPr>
            <w:r>
              <w:rPr>
                <w:sz w:val="16"/>
              </w:rPr>
              <w:t>0.1%</w:t>
            </w:r>
          </w:p>
        </w:tc>
      </w:tr>
      <w:tr>
        <w:tc>
          <w:tcPr>
            <w:tcW w:type="dxa" w:w="1560"/>
          </w:tcPr>
          <w:p>
            <w:pPr>
              <w:spacing w:after="20"/>
            </w:pPr>
            <w:r>
              <w:rPr>
                <w:sz w:val="16"/>
              </w:rPr>
              <w:t>interaction (after seeing results)</w:t>
            </w:r>
          </w:p>
        </w:tc>
        <w:tc>
          <w:tcPr>
            <w:tcW w:type="dxa" w:w="1560"/>
          </w:tcPr>
          <w:p>
            <w:pPr>
              <w:spacing w:after="20"/>
            </w:pPr>
            <w:r>
              <w:rPr>
                <w:sz w:val="16"/>
              </w:rPr>
              <w:t>62.5%</w:t>
            </w:r>
          </w:p>
        </w:tc>
        <w:tc>
          <w:tcPr>
            <w:tcW w:type="dxa" w:w="1560"/>
          </w:tcPr>
          <w:p>
            <w:pPr>
              <w:spacing w:after="20"/>
            </w:pPr>
            <w:r>
              <w:rPr>
                <w:sz w:val="16"/>
              </w:rPr>
              <w:t>0.0%</w:t>
            </w:r>
          </w:p>
        </w:tc>
        <w:tc>
          <w:tcPr>
            <w:tcW w:type="dxa" w:w="1560"/>
          </w:tcPr>
          <w:p>
            <w:pPr>
              <w:spacing w:after="20"/>
            </w:pPr>
            <w:r>
              <w:rPr>
                <w:sz w:val="16"/>
              </w:rPr>
              <w:t>67.5%</w:t>
            </w:r>
          </w:p>
        </w:tc>
        <w:tc>
          <w:tcPr>
            <w:tcW w:type="dxa" w:w="1560"/>
          </w:tcPr>
          <w:p>
            <w:pPr>
              <w:spacing w:after="20"/>
            </w:pPr>
            <w:r>
              <w:rPr>
                <w:sz w:val="16"/>
              </w:rPr>
              <w:t>7.5%</w:t>
            </w:r>
          </w:p>
        </w:tc>
        <w:tc>
          <w:tcPr>
            <w:tcW w:type="dxa" w:w="1560"/>
          </w:tcPr>
          <w:p>
            <w:pPr>
              <w:spacing w:after="20"/>
            </w:pPr>
            <w:r>
              <w:rPr>
                <w:sz w:val="16"/>
              </w:rPr>
              <w:t>0.0%</w:t>
            </w:r>
          </w:p>
        </w:tc>
      </w:tr>
      <w:tr>
        <w:tc>
          <w:tcPr>
            <w:tcW w:type="dxa" w:w="1560"/>
          </w:tcPr>
          <w:p>
            <w:pPr>
              <w:spacing w:after="20"/>
            </w:pPr>
            <w:r>
              <w:rPr>
                <w:sz w:val="16"/>
              </w:rPr>
              <w:t>mixture (after seeing results)</w:t>
            </w:r>
          </w:p>
        </w:tc>
        <w:tc>
          <w:tcPr>
            <w:tcW w:type="dxa" w:w="1560"/>
          </w:tcPr>
          <w:p>
            <w:pPr>
              <w:spacing w:after="20"/>
            </w:pPr>
            <w:r>
              <w:rPr>
                <w:sz w:val="16"/>
              </w:rPr>
              <w:t>82.5%</w:t>
            </w:r>
          </w:p>
        </w:tc>
        <w:tc>
          <w:tcPr>
            <w:tcW w:type="dxa" w:w="1560"/>
          </w:tcPr>
          <w:p>
            <w:pPr>
              <w:spacing w:after="20"/>
            </w:pPr>
            <w:r>
              <w:rPr>
                <w:sz w:val="16"/>
              </w:rPr>
              <w:t>0.0%</w:t>
            </w:r>
          </w:p>
        </w:tc>
        <w:tc>
          <w:tcPr>
            <w:tcW w:type="dxa" w:w="1560"/>
          </w:tcPr>
          <w:p>
            <w:pPr>
              <w:spacing w:after="20"/>
            </w:pPr>
            <w:r>
              <w:rPr>
                <w:sz w:val="16"/>
              </w:rPr>
              <w:t>65.0%</w:t>
            </w:r>
          </w:p>
        </w:tc>
        <w:tc>
          <w:tcPr>
            <w:tcW w:type="dxa" w:w="1560"/>
          </w:tcPr>
          <w:p>
            <w:pPr>
              <w:spacing w:after="20"/>
            </w:pPr>
            <w:r>
              <w:rPr>
                <w:sz w:val="16"/>
              </w:rPr>
              <w:t>2.5%</w:t>
            </w:r>
          </w:p>
        </w:tc>
        <w:tc>
          <w:tcPr>
            <w:tcW w:type="dxa" w:w="1560"/>
          </w:tcPr>
          <w:p>
            <w:pPr>
              <w:spacing w:after="20"/>
            </w:pPr>
            <w:r>
              <w:rPr>
                <w:sz w:val="16"/>
              </w:rPr>
              <w:t>0.0%</w:t>
            </w:r>
          </w:p>
        </w:tc>
      </w:tr>
      <w:tr>
        <w:tc>
          <w:tcPr>
            <w:tcW w:type="dxa" w:w="1560"/>
          </w:tcPr>
          <w:p>
            <w:pPr>
              <w:spacing w:after="20"/>
            </w:pPr>
            <w:r>
              <w:rPr>
                <w:sz w:val="16"/>
              </w:rPr>
              <w:t>fixed-horizon replay test (pre-registered)</w:t>
            </w:r>
          </w:p>
        </w:tc>
        <w:tc>
          <w:tcPr>
            <w:tcW w:type="dxa" w:w="1560"/>
          </w:tcPr>
          <w:p>
            <w:pPr>
              <w:spacing w:after="20"/>
            </w:pPr>
            <w:r>
              <w:rPr>
                <w:sz w:val="16"/>
              </w:rPr>
              <w:t>35%</w:t>
            </w:r>
          </w:p>
        </w:tc>
        <w:tc>
          <w:tcPr>
            <w:tcW w:type="dxa" w:w="1560"/>
          </w:tcPr>
          <w:p>
            <w:pPr>
              <w:spacing w:after="20"/>
            </w:pPr>
            <w:r>
              <w:rPr>
                <w:sz w:val="16"/>
              </w:rPr>
              <w:t>10%</w:t>
            </w:r>
          </w:p>
        </w:tc>
        <w:tc>
          <w:tcPr>
            <w:tcW w:type="dxa" w:w="1560"/>
          </w:tcPr>
          <w:p>
            <w:pPr>
              <w:spacing w:after="20"/>
            </w:pPr>
            <w:r>
              <w:rPr>
                <w:sz w:val="16"/>
              </w:rPr>
              <w:t>92%</w:t>
            </w:r>
          </w:p>
        </w:tc>
        <w:tc>
          <w:tcPr>
            <w:tcW w:type="dxa" w:w="1560"/>
          </w:tcPr>
          <w:p>
            <w:pPr>
              <w:spacing w:after="20"/>
            </w:pPr>
            <w:r>
              <w:rPr>
                <w:sz w:val="16"/>
              </w:rPr>
              <w:t>58%</w:t>
            </w:r>
          </w:p>
        </w:tc>
        <w:tc>
          <w:tcPr>
            <w:tcW w:type="dxa" w:w="1560"/>
          </w:tcPr>
          <w:p>
            <w:pPr>
              <w:spacing w:after="20"/>
            </w:pPr>
            <w:r>
              <w:rPr>
                <w:sz w:val="16"/>
              </w:rPr>
              <w:t>4.2%</w:t>
            </w:r>
          </w:p>
        </w:tc>
      </w:tr>
    </w:tbl>
    <w:p>
      <w:pPr>
        <w:spacing w:after="80" w:before="0"/>
      </w:pPr>
    </w:p>
    <w:p>
      <w:pPr>
        <w:spacing w:after="80" w:before="0"/>
        <w:jc w:val="both"/>
      </w:pPr>
      <w:r>
        <w:rPr>
          <w:sz w:val="20"/>
        </w:rPr>
        <w:t xml:space="preserve">- Added after the freeze and labelled exploratory: the anytime-valid sequential test (§4.5;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