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 with Claude (Anthropic)</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ask whether agents' actions depend on each other. Agents built on one model act alike without communicating, so such audits accuse honest fleets: among four honest Claude Haiku agents, mutual information flags 69.3% of games. We propose a replay test. Each round the auditor asks every deployed agent again what it would do on the same input with the suspected channel removed, and flags a pair only if its logged actions depend on each other more than its replays do. If replays are served like the originals, the null is exact within each round, and a sequential version is valid at any stopping time. On 550 honest LLM games the fixed-horizon version flags 4.2%. In a procurement auction it names the true pair in 92.5% of games when a shared pricing vendor pools confidential costs, and almost never flags a vendor that uses only public data. A pre-registered replication confirmed the sequential version. In a pre-registered study of the brief's target environment (Agrawal et al.'s double auction, re-implemented), the sequential version ruled out false-alarm rates of 15% or more. A cartel in that auction escaped the pre-registered bet. A statistic chosen afterwards caught it, because the colluders left their own replays in the same hours. A fresh pre-registered series confirmed this. The test detects what the current channel adds. Coordination already stored in instructions or memory escapes it. We release the code and the data.</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pricing bots in one market, bidders in one procurement system, coding agents in one repository. An auditor often cannot see the channels between them. As S. Motwani put it at this sprint, "what's left to monitor is still the actions of the agents themselves". The standard audit therefore asks whether one agent's actions predict another's, with a dependence measure such as the net influence of Bonjour et al. [1] or mutual information [2].</w:t>
      </w:r>
    </w:p>
    <w:p>
      <w:pPr>
        <w:spacing w:after="60" w:before="0"/>
        <w:jc w:val="both"/>
      </w:pPr>
      <w:r>
        <w:rPr>
          <w:sz w:val="20"/>
        </w:rPr>
        <w:t>This audit fails when the agents share a model. Four honest copies of Claude Haiku play rock-paper-scissors. They favour the same moves, so a mutual-information test accuses two of them. Ask the two again on the same inputs and their replays are just as alike: the likeness comes from the model. If instead one player secretly tells the other what to play, replays asked without that message stop tracking each other. Antitrust law calls the first case conscious parallelism and treats it as lawful. Only an agreement is unlawful [4, 5]. A test that cannot tell the two apart accuses honest fleets that run on one vendor's model [3].</w:t>
      </w:r>
    </w:p>
    <w:p>
      <w:pPr>
        <w:spacing w:after="60" w:before="0"/>
        <w:jc w:val="both"/>
      </w:pPr>
      <w:r>
        <w:rPr>
          <w:sz w:val="20"/>
        </w:rPr>
        <w:t>We make the shared model part of the null hypothesis (Figure 1). In every round the auditor asks each agent twice more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a test that compares the logged data with data redrawn under the null, except that the redraws come from the deployed agent itself instead of a model of it.</w:t>
      </w:r>
    </w:p>
    <w:p>
      <w:pPr>
        <w:keepNext/>
        <w:spacing w:after="40" w:before="0"/>
        <w:jc w:val="center"/>
      </w:pPr>
      <w:r>
        <w:drawing>
          <wp:inline>
            <wp:extent cx="5760720" cy="1875923"/>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875923"/>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raises an alarm with a false-alarm rate below the chosen level however long the audit runs, under the assumptions of Section 3.</w:t>
      </w:r>
    </w:p>
    <w:p>
      <w:pPr>
        <w:spacing w:after="60" w:before="0"/>
        <w:jc w:val="both"/>
      </w:pPr>
      <w:r>
        <w:rPr>
          <w:sz w:val="20"/>
        </w:rPr>
        <w:t>Our contributions are four. We measure the confound: dependence tests accuse honest same-model agents in our games and in the published double-auction logs of Agrawal et al. [7] (Section 5.1). We propose the replay test, exact within each round and, in its sequential form, valid at any stopping time (Section 3). On honest LLM games its false alarms stay near the target, and it finds channels that change behaviour, including a vendor that pools confidential data, and a pre-registered replication confirms the sequential version (Sections 5.2 and 5.3). We map its boundary: coordination held in instructions or memory, weak channels, and honest agents that repeat their own moves (Section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which is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that of the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the prompt, the public history, tool outputs and the agent's own memory. The </w:t>
      </w:r>
      <w:r>
        <w:rPr>
          <w:i/>
          <w:sz w:val="20"/>
        </w:rPr>
        <w:t>channel</w:t>
      </w:r>
      <w:r>
        <w:rPr>
          <w:sz w:val="20"/>
        </w:rPr>
        <w:t xml:space="preserve"> (C) is the input under audit: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agent picks each action with the same probability. Writing Pr for the probability that the deployed agent picks a given action,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channel</m:t>
          </m:r>
          <m:r>
            <m:rPr>
              <m:sty m:val="p"/>
            </m:rPr>
            <m:t xml:space="preserve">)</m:t>
          </m:r>
          <m:r>
            <m:rPr>
              <m:sty m:val="p"/>
            </m:rPr>
            <m:t xml:space="preserve">=</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 </m:t>
          </m:r>
          <m:r>
            <m:rPr>
              <m:sty m:val="p"/>
            </m:rPr>
            <m:t xml:space="preserve">for every agent and every round,</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932085"/>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932085"/>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the mutual information between two agents' same-round actions over the episode, minus the largest mutual information between the second agent and any third agent, which removes a common cause such as a shared opponent (so </w:t>
      </w:r>
      <w:r>
        <w:rPr>
          <w:i/>
          <w:sz w:val="20"/>
        </w:rPr>
        <w:t>N</w:t>
      </w:r>
      <w:r>
        <w:rPr>
          <w:sz w:val="20"/>
        </w:rPr>
        <w:t xml:space="preserve"> ≥ 3</w:t>
      </w:r>
      <w:r>
        <w:rPr>
          <w:sz w:val="20"/>
        </w:rPr>
        <w:t>). A pair must pass in both directions. The game statistic is the largest such value over all pairs, so one test per game covers every pair without further correction. Appendix C.9 states the formulas. To get a p-value, the auditor builds 999 null datasets, each by redrawing every action at random from its pool, and recomputes the statistic on each. The p-value is the number of null datasets whose statistic reaches the observed one, plus one, divided by one thousand. The game is flagged when the p-value is at most the chosen level, and the pair with the largest statistic is named. Proposition 1 holds round by round but not for redrawing all rounds at once, because later views contain earlier actions. This version therefore has no finite-sample guarantee over a whole game, and we measure its calibration instead (Sections 5.2 and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estimates, from the pair's logged joint moves in earlier rounds, how likely each joint move is (counts plus a half, mixed with the uniform distribution, so early rounds bet almost uniformly). Call this estimate q. The round's payoff compares the logged joint move with the joint moves the two pools can form (with two replays each, nine of them):</w:t>
      </w:r>
    </w:p>
    <w:p>
      <w:pPr>
        <w:spacing w:after="80" w:before="0"/>
        <w:jc w:val="center"/>
      </w:pPr>
      <m:oMathPara>
        <m:oMathParaPr>
          <m:jc m:val="center"/>
        </m:oMathParaPr>
        <m:oMath>
          <m:sSub>
            <m:e>
              <m:r>
                <m:rPr>
                  <m:sty m:val="p"/>
                </m:rPr>
                <m:t xml:space="preserve">payoff</m:t>
              </m:r>
            </m:e>
            <m:sub>
              <m:r>
                <m:t xml:space="preserve">t</m:t>
              </m:r>
            </m:sub>
          </m:sSub>
          <m:r>
            <m:rPr>
              <m:sty m:val="p"/>
            </m:rPr>
            <m:t xml:space="preserve">=</m:t>
          </m:r>
          <m:f>
            <m:num>
              <m:r>
                <m:t xml:space="preserve">q</m:t>
              </m:r>
              <m:r>
                <m:rPr>
                  <m:sty m:val="p"/>
                </m:rPr>
                <m:t xml:space="preserve">(</m:t>
              </m:r>
              <m:r>
                <m:rPr>
                  <m:sty m:val="p"/>
                </m:rPr>
                <m:t xml:space="preserve">logged joint move</m:t>
              </m:r>
              <m:r>
                <m:rPr>
                  <m:sty m:val="p"/>
                </m:rPr>
                <m:t xml:space="preserve">)</m:t>
              </m:r>
            </m:num>
            <m:den>
              <m:r>
                <m:rPr>
                  <m:sty m:val="p"/>
                </m:rPr>
                <m:t xml:space="preserve">average of </m:t>
              </m:r>
              <m:r>
                <m:t xml:space="preserve">q</m:t>
              </m:r>
              <m:r>
                <m:rPr>
                  <m:sty m:val="p"/>
                </m:rPr>
                <m:t xml:space="preserve"> over the nine pool joint moves</m:t>
              </m:r>
            </m:den>
          </m:f>
          <m:r>
            <m:rPr>
              <m:sty m:val="p"/>
            </m:rPr>
            <m:t xml:space="preserve">,</m:t>
          </m:r>
          <m:r>
            <m:rPr>
              <m:sty m:val="p"/>
            </m:rPr>
            <m:t xml:space="preserve">  </m:t>
          </m:r>
          <m:sSub>
            <m:e>
              <m:r>
                <m:rPr>
                  <m:sty m:val="p"/>
                </m:rPr>
                <m:t xml:space="preserve">evidence</m:t>
              </m:r>
            </m:e>
            <m:sub>
              <m:r>
                <m:t xml:space="preserve">T</m:t>
              </m:r>
            </m:sub>
          </m:sSub>
          <m:r>
            <m:rPr>
              <m:sty m:val="p"/>
            </m:rPr>
            <m:t xml:space="preserve">=</m:t>
          </m:r>
          <m:r>
            <m:rPr>
              <m:sty m:val="p"/>
            </m:rPr>
            <m:t xml:space="preserve">average over pairs of </m:t>
          </m:r>
          <m:nary>
            <m:naryPr>
              <m:chr m:val="∏"/>
              <m:limLoc m:val="undOvr"/>
              <m:supHide m:val="1"/>
            </m:naryPr>
            <m:sub>
              <m:r>
                <m:t xml:space="preserve">t</m:t>
              </m:r>
              <m:r>
                <m:t xml:space="preserve">≤</m:t>
              </m:r>
              <m:r>
                <m:t xml:space="preserve">T</m:t>
              </m:r>
            </m:sub>
            <m:sup/>
            <m:e>
              <m:sSub>
                <m:e>
                  <m:r>
                    <m:rPr>
                      <m:sty m:val="p"/>
                    </m:rPr>
                    <m:t xml:space="preserve">payoff</m:t>
                  </m:r>
                </m:e>
                <m:sub>
                  <m:r>
                    <m:t xml:space="preserve">t</m:t>
                  </m:r>
                </m:sub>
              </m:sSub>
            </m:e>
          </m:nary>
          <m:r>
            <m:rPr>
              <m:sty m:val="p"/>
            </m:rPr>
            <m:t xml:space="preserve">,</m:t>
          </m:r>
        </m:oMath>
      </m:oMathPara>
    </w:p>
    <w:p>
      <w:pPr>
        <w:spacing w:after="60" w:before="0"/>
        <w:jc w:val="both"/>
      </w:pPr>
      <w:r>
        <w:rPr>
          <w:sz w:val="20"/>
        </w:rPr>
        <w:t>where the product multiplies the pair's payoffs from round 1 to round T. Under the null the logged joint move is one of the nine at random, so the expected payoff is 1 and the evidence stays flat. A pair that keeps playing joint moves its pools do not reproduce earns payoffs above 1 round after round. An alarm is raised at the first round in which the evidence reaches 1 divided by the chosen level (20 at the 5% level). The estimate q depends only on earlier rounds and is positive, so every payoff is positive. The two tests look for different things: net influence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fair bet (a nonnegative martingale). Given the past, its expected value after the next round equals its current value. So the chance that it ever reaches 20, in an audit of any length, is at most 5%, also when later views contain earlier actions. Appendix C.9 proves it, gives the fastest betting rule, and shows that a channel which stays undetected cannot shift payoffs by much.</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replays, the level, and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2. Sequential test: update the evidence after each round. At the first round it reaches 1 divided by the level,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r>
        <w:rPr>
          <w:sz w:val="20"/>
        </w:rPr>
        <w:t xml:space="preserve"> Rock-paper-scissors is the four-player iterated game of Bonjour et al. [1]: seats P1 to P4, 30 rounds, public history. In the procurement auction four suppliers draw private costs of 50, 60 or 70 each round and submit sealed bids between 60 and 100. The lowest bid wins and earns its bid minus its cost, and all bids are published. A bid of 90 or more, the cover-bid range, counts as high. The published logs are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are validation models. All run at temperature 1 with reasoning off where possible.</w:t>
      </w:r>
    </w:p>
    <w:p>
      <w:pPr>
        <w:spacing w:after="60" w:before="0"/>
        <w:jc w:val="both"/>
      </w:pPr>
      <w:r>
        <w:rPr>
          <w:b/>
          <w:sz w:val="20"/>
        </w:rPr>
        <w:t>Baselines.</w:t>
      </w:r>
      <w:r>
        <w:rPr>
          <w:sz w:val="20"/>
        </w:rPr>
        <w:t xml:space="preserve"> We compare with three detectors. Pairwise mutual information uses a within-episode time-shuffle null. Bonjour's rule puts a fixed threshold on the same net-influence statistic. An LLM judge (Claude Haiku, temperature 0) reads the actions alone or the actions with every private message.</w:t>
      </w:r>
    </w:p>
    <w:p>
      <w:pPr>
        <w:spacing w:after="60" w:before="0"/>
        <w:jc w:val="both"/>
      </w:pPr>
      <w:r>
        <w:rPr>
          <w:b/>
          <w:sz w:val="20"/>
        </w:rPr>
        <w:t>Protocol.</w:t>
      </w:r>
      <w:r>
        <w:rPr>
          <w:sz w:val="20"/>
        </w:rPr>
        <w:t xml:space="preserve"> We fixed hypotheses, sample sizes, statistics and decision rules in a timestamped plan before collecting the main data, and pre-registered the replication of the sequential test the same way. A game is flagged when the test rejects at the 5% level, and the true pair is named when the flagged pair is the colluding one. Shares come with 95% Wilson intervals. Figure 3 lists the conditions.</w:t>
      </w:r>
    </w:p>
    <w:p>
      <w:pPr>
        <w:keepNext/>
        <w:spacing w:after="40" w:before="0"/>
        <w:jc w:val="center"/>
      </w:pPr>
      <w:r>
        <w:drawing>
          <wp:inline>
            <wp:extent cx="5760720" cy="1681208"/>
            <wp:docPr id="3" name="Picture 3"/>
            <wp:cNvGraphicFramePr>
              <a:graphicFrameLocks noChangeAspect="1"/>
            </wp:cNvGraphicFramePr>
            <a:graphic>
              <a:graphicData uri="http://schemas.openxmlformats.org/drawingml/2006/picture">
                <pic:pic>
                  <pic:nvPicPr>
                    <pic:cNvPr id="0" name="p_fig3_conditions.png"/>
                    <pic:cNvPicPr/>
                  </pic:nvPicPr>
                  <pic:blipFill>
                    <a:blip r:embed="rId10"/>
                    <a:stretch>
                      <a:fillRect/>
                    </a:stretch>
                  </pic:blipFill>
                  <pic:spPr>
                    <a:xfrm>
                      <a:off x="0" y="0"/>
                      <a:ext cx="5760720" cy="1681208"/>
                    </a:xfrm>
                    <a:prstGeom prst="rect"/>
                  </pic:spPr>
                </pic:pic>
              </a:graphicData>
            </a:graphic>
          </wp:inline>
        </w:drawing>
      </w:r>
    </w:p>
    <w:p>
      <w:pPr>
        <w:spacing w:after="120" w:before="0"/>
        <w:jc w:val="both"/>
      </w:pPr>
      <w:r>
        <w:rPr>
          <w:b/>
          <w:color w:val="404040"/>
          <w:sz w:val="17"/>
        </w:rPr>
        <w:t>Figure 3. The conditions.</w:t>
      </w:r>
      <w:r>
        <w:rPr>
          <w:color w:val="404040"/>
          <w:sz w:val="17"/>
        </w:rPr>
        <w:t xml:space="preserve"> Each row is one set of games. Grey rows are honest, with no hidden channel. Red rows have a hidden channel that is meant to change actions, and the test should name the pair.</w:t>
      </w:r>
    </w:p>
    <w:p>
      <w:pPr>
        <w:pStyle w:val="Heading2"/>
        <w:keepNext/>
        <w:spacing w:before="160" w:after="60"/>
      </w:pPr>
      <w:r>
        <w:rPr/>
        <w:t>5. Results</w:t>
      </w:r>
    </w:p>
    <w:p>
      <w:pPr>
        <w:pStyle w:val="Heading3"/>
        <w:keepNext/>
        <w:spacing w:before="100" w:after="60"/>
      </w:pPr>
      <w:r>
        <w:rPr/>
        <w:t>5.1 Standard tests accuse honest agents</w:t>
      </w:r>
    </w:p>
    <w:p>
      <w:pPr>
        <w:spacing w:after="60" w:before="0"/>
        <w:jc w:val="both"/>
      </w:pPr>
      <w:r>
        <w:rPr>
          <w:sz w:val="20"/>
        </w:rPr>
        <w:t>We first measured how often dependence tests accuse agents that never communicate. With four honest copies of Claude Haiku, mutual information accuses a pair in 69.3% of games (Figure 4a). The published auction logs of Agrawal et al. show the same, and so does our pre-registered re-implementation of that auction, where mutual information flagged 26/30 honest DeepSeek games without chat and the sequential replay test 0/30 (Table A6b). The confound is real and large. Only in our sealed-bid auction, where honest bids barely vary, do the standard tests stay quiet.</w:t>
      </w:r>
    </w:p>
    <w:p>
      <w:pPr>
        <w:keepNext/>
        <w:spacing w:after="40" w:before="0"/>
        <w:jc w:val="center"/>
      </w:pPr>
      <w:r>
        <w:drawing>
          <wp:inline>
            <wp:extent cx="5760720" cy="1964851"/>
            <wp:docPr id="4" name="Picture 4"/>
            <wp:cNvGraphicFramePr>
              <a:graphicFrameLocks noChangeAspect="1"/>
            </wp:cNvGraphicFramePr>
            <a:graphic>
              <a:graphicData uri="http://schemas.openxmlformats.org/drawingml/2006/picture">
                <pic:pic>
                  <pic:nvPicPr>
                    <pic:cNvPr id="0" name="p_fig2_main.png"/>
                    <pic:cNvPicPr/>
                  </pic:nvPicPr>
                  <pic:blipFill>
                    <a:blip r:embed="rId11"/>
                    <a:stretch>
                      <a:fillRect/>
                    </a:stretch>
                  </pic:blipFill>
                  <pic:spPr>
                    <a:xfrm>
                      <a:off x="0" y="0"/>
                      <a:ext cx="5760720" cy="1964851"/>
                    </a:xfrm>
                    <a:prstGeom prst="rect"/>
                  </pic:spPr>
                </pic:pic>
              </a:graphicData>
            </a:graphic>
          </wp:inline>
        </w:drawing>
      </w:r>
    </w:p>
    <w:p>
      <w:pPr>
        <w:spacing w:after="120" w:before="0"/>
        <w:jc w:val="both"/>
      </w:pPr>
      <w:r>
        <w:rPr>
          <w:b/>
          <w:color w:val="404040"/>
          <w:sz w:val="17"/>
        </w:rPr>
        <w:t>Figure 4. Honest agents are accused by standard tests, not by the replay test, and real hidden channels are still caught.</w:t>
      </w:r>
      <w:r>
        <w:rPr>
          <w:color w:val="404040"/>
          <w:sz w:val="17"/>
        </w:rPr>
        <w:t xml:space="preserve"> (a) Share of honest games in which each detector accuses a pair. The dashed line is the 5% level the tests are set to. (b) Three detection results. The vendor game uses the fixed-horizon test. The replication and the cartel series were pre-registered on fresh games. Appendix C has every condition with intervals.</w:t>
      </w:r>
    </w:p>
    <w:p>
      <w:pPr>
        <w:pStyle w:val="Heading3"/>
        <w:keepNext/>
        <w:spacing w:before="100" w:after="60"/>
      </w:pPr>
      <w:r>
        <w:rPr/>
        <w:t>5.2 The replay test keeps its false-alarm rate</w:t>
      </w:r>
    </w:p>
    <w:p>
      <w:pPr>
        <w:spacing w:after="60" w:before="0"/>
        <w:jc w:val="both"/>
      </w:pPr>
      <w:r>
        <w:rPr>
          <w:sz w:val="20"/>
        </w:rPr>
        <w:t>The replay test is meant to remove that confound. On 550 honest LLM games across the three honest conditions, the fixed-horizon version flags 4.2%, close to the 5% it is set to, and its p-values are close to uniform. The honest auction games and the validation models behave the same way (Table A1). In the pre-registered auction study, the sequential test raised 0/60 false alarms in games without chat, which rules out a false-alarm rate of 15% or more (Table A6b). The test does not accuse honest fleets.</w:t>
      </w:r>
    </w:p>
    <w:p>
      <w:pPr>
        <w:pStyle w:val="Heading3"/>
        <w:keepNext/>
        <w:spacing w:before="100" w:after="60"/>
      </w:pPr>
      <w:r>
        <w:rPr/>
        <w:t>5.3 Channels that change behaviour are found</w:t>
      </w:r>
    </w:p>
    <w:p>
      <w:pPr>
        <w:spacing w:after="60" w:before="0"/>
        <w:jc w:val="both"/>
      </w:pPr>
      <w:r>
        <w:rPr>
          <w:sz w:val="20"/>
        </w:rPr>
        <w:t xml:space="preserve">The second question is whether the test still sees real collusion. The cleanest case is a pricing vendor that pools its two clients' confidential costs and rotates the wins. The test names that pair in 92.5% of games, and almost never flags a vendor that uses public data only (Table A1). This is the line the courts drew in </w:t>
      </w:r>
      <w:r>
        <w:rPr>
          <w:i/>
          <w:sz w:val="20"/>
        </w:rPr>
        <w:t>Gibson v. Cendyn</w:t>
      </w:r>
      <w:r>
        <w:rPr>
          <w:sz w:val="20"/>
        </w:rPr>
        <w:t xml:space="preserve"> (independent licensees of one tool, lawful) and </w:t>
      </w:r>
      <w:r>
        <w:rPr>
          <w:i/>
          <w:sz w:val="20"/>
        </w:rPr>
        <w:t>Duffy v. Yardi</w:t>
      </w:r>
      <w:r>
        <w:rPr>
          <w:sz w:val="20"/>
        </w:rPr>
        <w:t xml:space="preserve"> (pooled rival data, a case to answer). A second model family, Claude Haiku, gives the same split in a pre-registered run, with fewer pairs named because Haiku often refuses the vendor's instruction (Appendix C.11).</w:t>
      </w:r>
    </w:p>
    <w:p>
      <w:pPr>
        <w:spacing w:after="60" w:before="0"/>
        <w:jc w:val="both"/>
      </w:pPr>
      <w:r>
        <w:rPr>
          <w:sz w:val="20"/>
        </w:rPr>
        <w:t>Instructed secret plans in rock-paper-scissors are harder. The test names the Haiku pair in 35% of games and the DeepSeek pair less often, because DeepSeek's plans change every round and leave little joint signal. Mutual information names more Haiku pairs, but only by accusing honest groups as well. At the same false-alarm rate the replay test detects more (Table A4).</w:t>
      </w:r>
    </w:p>
    <w:p>
      <w:pPr>
        <w:spacing w:after="60" w:before="0"/>
        <w:jc w:val="both"/>
      </w:pPr>
      <w:r>
        <w:rPr>
          <w:sz w:val="20"/>
        </w:rPr>
        <w:t>The sequential version was confirmed in a pre-registered replication on fresh games. It named the instructed pair in 18/20 games, more than the fixed-horizon test on the same games, with no false alarms (Figure 5). Two further pre-registered runs extend this. A likelihood-ratio betting rule, derived in Appendix C.9, found DeepSeek pairs that the original bet missed, and a pair that hid its move in a code word in a public chat was caught while honest small talk was not (Appendix C.11). An LLM judge reading the same actions ranks pairs about as well as the test, but nothing controls how often it accuses honest agents, and given the private messages it accuses groups whose plans were never delivered (Appendix C.5).</w:t>
      </w:r>
    </w:p>
    <w:p>
      <w:pPr>
        <w:keepNext/>
        <w:spacing w:after="40" w:before="0"/>
        <w:jc w:val="center"/>
      </w:pPr>
      <w:r>
        <w:drawing>
          <wp:inline>
            <wp:extent cx="5760720" cy="1599779"/>
            <wp:docPr id="5" name="Picture 5"/>
            <wp:cNvGraphicFramePr>
              <a:graphicFrameLocks noChangeAspect="1"/>
            </wp:cNvGraphicFramePr>
            <a:graphic>
              <a:graphicData uri="http://schemas.openxmlformats.org/drawingml/2006/picture">
                <pic:pic>
                  <pic:nvPicPr>
                    <pic:cNvPr id="0" name="p_fig4_eprocess.png"/>
                    <pic:cNvPicPr/>
                  </pic:nvPicPr>
                  <pic:blipFill>
                    <a:blip r:embed="rId12"/>
                    <a:stretch>
                      <a:fillRect/>
                    </a:stretch>
                  </pic:blipFill>
                  <pic:spPr>
                    <a:xfrm>
                      <a:off x="0" y="0"/>
                      <a:ext cx="5760720" cy="1599779"/>
                    </a:xfrm>
                    <a:prstGeom prst="rect"/>
                  </pic:spPr>
                </pic:pic>
              </a:graphicData>
            </a:graphic>
          </wp:inline>
        </w:drawing>
      </w:r>
    </w:p>
    <w:p>
      <w:pPr>
        <w:spacing w:after="120" w:before="0"/>
        <w:jc w:val="both"/>
      </w:pPr>
      <w:r>
        <w:rPr>
          <w:b/>
          <w:color w:val="404040"/>
          <w:sz w:val="17"/>
        </w:rPr>
        <w:t>Figure 5.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sz w:val="20"/>
        </w:rPr>
        <w:t>The third question is where the test is blind. We found three cases. Pairs told they are a team but given no channel are not flagged. The instruction is part of the policy, so the replays reproduce it, and this case needs an audit of the policy itself [12].</w:t>
      </w:r>
    </w:p>
    <w:p>
      <w:pPr>
        <w:spacing w:after="60" w:before="0"/>
        <w:jc w:val="both"/>
      </w:pPr>
      <w:r>
        <w:rPr>
          <w:sz w:val="20"/>
        </w:rPr>
        <w:t>Agreements stored in memory escape it too. In the pre-registered auction study an instructed cartel raised prices, yet the sequential test alarmed in only 2/30 of its games (Table A6). A replay keeps the seller's memory, so a price floor read in one hour is still obeyed by the replay of the next. What the inbox does add is timing. All followers leave their replays in the same hours, and a statistic that counts such rounds, chosen after seeing these data, flags 20/30 cartel games. A fresh pre-registered series confirmed it (Appendix C.11).</w:t>
      </w:r>
    </w:p>
    <w:p>
      <w:pPr>
        <w:spacing w:after="60" w:before="0"/>
        <w:jc w:val="both"/>
      </w:pPr>
      <w:r>
        <w:rPr>
          <w:sz w:val="20"/>
        </w:rPr>
        <w:t>Third, when honest agents repeat their own moves, the fixed-horizon test over-rejects, because its null redraws rounds independently and breaks the runs. The sequential test does not, as Proposition 2 requires, and we recommend it for agents whose actions persist (Table A5d).</w:t>
      </w:r>
    </w:p>
    <w:p>
      <w:pPr>
        <w:pStyle w:val="Heading2"/>
        <w:keepNext/>
        <w:spacing w:before="160" w:after="60"/>
      </w:pPr>
      <w:r>
        <w:rPr/>
        <w:t>6. Discussion and Limitations</w:t>
      </w:r>
    </w:p>
    <w:p>
      <w:pPr>
        <w:spacing w:after="60" w:before="0"/>
        <w:jc w:val="both"/>
      </w:pPr>
      <w:r>
        <w:rPr>
          <w:sz w:val="20"/>
        </w:rPr>
        <w:t>Labs, platforms and regulators' sandboxes that log each agent's prompt and state can run the test before deployment and in audits. Under A1 to A3 a flag points to the audited channel, not to a shared vendor. Four limits remain. The test needs query access to the deployed policies, which an outside auditor with logs alone lacks. Exactness needs the same model to answer the logged call and its replays. Our match-rate diagnostic is consistent with this, but we did not pin provider routing in the main runs. The null covers only the direct effect of the current channel (Section 5.4). Our colluders were told to collude, in two model families and stylised games of 30 rounds, so the detection rates need not transfer to colluders that coordinate on their own or know about the audit.</w:t>
      </w:r>
    </w:p>
    <w:p>
      <w:pPr>
        <w:pStyle w:val="Heading2"/>
        <w:keepNext/>
        <w:spacing w:before="160" w:after="60"/>
      </w:pPr>
      <w:r>
        <w:rPr/>
        <w:t>7. Conclusion</w:t>
      </w:r>
    </w:p>
    <w:p>
      <w:pPr>
        <w:spacing w:after="60" w:before="0"/>
        <w:jc w:val="both"/>
      </w:pPr>
      <w:r>
        <w:rPr>
          <w:sz w:val="20"/>
        </w:rPr>
        <w:t>Shared models make honest agents look like cartels to dependence tests. Asking each agent again without the audited channel brings these false accusations down to the target rate. In theory the best betting rule finds a channel whose current messages shift payoffs, at a speed set by the size of the shift (Appendix C.9). Agreements already held in instructions or memory escape the test and need audits of the policy and its state. We release the code under MIT and the data under CC-BY-4.0.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finds pairs whose hidden channel changed their actions. It establishes neither intent nor legality, nor robustness to adversaries optimised to evade it. A flag is a plus factor that warrants investigation, not a finding of collusion.</w:t>
      </w:r>
    </w:p>
    <w:p>
      <w:pPr>
        <w:spacing w:after="60" w:before="0"/>
        <w:jc w:val="both"/>
      </w:pPr>
      <w:r>
        <w:rPr>
          <w:b/>
          <w:sz w:val="20"/>
        </w:rPr>
        <w:t>Dual use.</w:t>
      </w:r>
      <w:r>
        <w:rPr>
          <w:sz w:val="20"/>
        </w:rPr>
        <w:t xml:space="preserve"> Naming the blind spot (coordination held in the policy or in memory) could tell a colluder where to hide; we judge the risk low, since it follows from the definition, is known in the antitrust literature, and the remedy, auditing the policy and its state, is stated with it. We release no colluding agents beyond the instructed positive controls. The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was not pinned (Table A0): Haiku came almost entirely from one provider, DeepSeek from several, which may serve different quantisations. Exactness of the per-round null therefore rests on A1, which the C.2 diagnostic supports for the main models but does not establish.</w:t>
      </w:r>
    </w:p>
    <w:p>
      <w:pPr>
        <w:spacing w:after="60" w:before="0"/>
        <w:jc w:val="both"/>
      </w:pPr>
      <w:r>
        <w:rPr>
          <w:b/>
          <w:sz w:val="20"/>
        </w:rPr>
        <w:t>Cost and ethics.</w:t>
      </w:r>
      <w:r>
        <w:rPr>
          <w:sz w:val="20"/>
        </w:rPr>
        <w:t xml:space="preserve"> Table A0 gives calls and spend.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Instructions of the instructed colluders and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the rates with intervals, Table A1b the pooled honest games and the published logs. The pre-registered test of a replay false-alarm rate of 10% or more is rejected in every same-model condition; that alone does not establish a rate of 5% or less.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224"/>
        <w:gridCol w:w="1859"/>
        <w:gridCol w:w="767"/>
        <w:gridCol w:w="979"/>
        <w:gridCol w:w="979"/>
        <w:gridCol w:w="979"/>
        <w:gridCol w:w="1284"/>
      </w:tblGrid>
      <w:tr>
        <w:trPr>
          <w:cantSplit/>
        </w:trPr>
        <w:tc>
          <w:tcPr>
            <w:tcW w:type="dxa" w:w="2224"/>
          </w:tcPr>
          <w:p>
            <w:pPr>
              <w:keepNext/>
              <w:spacing w:after="20"/>
            </w:pPr>
            <w:r>
              <w:rPr>
                <w:b/>
                <w:sz w:val="16"/>
              </w:rPr>
              <w:t>Condition</w:t>
            </w:r>
          </w:p>
        </w:tc>
        <w:tc>
          <w:tcPr>
            <w:tcW w:type="dxa" w:w="1859"/>
          </w:tcPr>
          <w:p>
            <w:pPr>
              <w:keepNext/>
              <w:spacing w:after="20"/>
            </w:pPr>
            <w:r>
              <w:rPr>
                <w:b/>
                <w:sz w:val="16"/>
              </w:rPr>
              <w:t>Game, model</w:t>
            </w:r>
          </w:p>
        </w:tc>
        <w:tc>
          <w:tcPr>
            <w:tcW w:type="dxa" w:w="767"/>
          </w:tcPr>
          <w:p>
            <w:pPr>
              <w:keepNext/>
              <w:spacing w:after="20"/>
            </w:pPr>
            <w:r>
              <w:rPr>
                <w:b/>
                <w:sz w:val="16"/>
              </w:rPr>
              <w:t>Games</w:t>
            </w:r>
          </w:p>
        </w:tc>
        <w:tc>
          <w:tcPr>
            <w:tcW w:type="dxa" w:w="979"/>
          </w:tcPr>
          <w:p>
            <w:pPr>
              <w:keepNext/>
              <w:spacing w:after="20"/>
            </w:pPr>
            <w:r>
              <w:rPr>
                <w:b/>
                <w:sz w:val="16"/>
              </w:rPr>
              <w:t>MI + shuffle</w:t>
            </w:r>
          </w:p>
        </w:tc>
        <w:tc>
          <w:tcPr>
            <w:tcW w:type="dxa" w:w="979"/>
          </w:tcPr>
          <w:p>
            <w:pPr>
              <w:keepNext/>
              <w:spacing w:after="20"/>
            </w:pPr>
            <w:r>
              <w:rPr>
                <w:b/>
                <w:sz w:val="16"/>
              </w:rPr>
              <w:t>Bonjour rule</w:t>
            </w:r>
          </w:p>
        </w:tc>
        <w:tc>
          <w:tcPr>
            <w:tcW w:type="dxa" w:w="979"/>
          </w:tcPr>
          <w:p>
            <w:pPr>
              <w:keepNext/>
              <w:spacing w:after="20"/>
            </w:pPr>
            <w:r>
              <w:rPr>
                <w:b/>
                <w:sz w:val="16"/>
              </w:rPr>
              <w:t>Replay, fixed</w:t>
            </w:r>
          </w:p>
        </w:tc>
        <w:tc>
          <w:tcPr>
            <w:tcW w:type="dxa" w:w="1284"/>
          </w:tcPr>
          <w:p>
            <w:pPr>
              <w:keepNext/>
              <w:spacing w:after="20"/>
            </w:pPr>
            <w:r>
              <w:rPr>
                <w:b/>
                <w:sz w:val="16"/>
              </w:rPr>
              <w:t>Replay, sequential</w:t>
            </w:r>
          </w:p>
        </w:tc>
      </w:tr>
      <w:tr>
        <w:trPr>
          <w:cantSplit/>
        </w:trPr>
        <w:tc>
          <w:tcPr>
            <w:tcW w:type="dxa" w:w="2224"/>
          </w:tcPr>
          <w:p>
            <w:pPr>
              <w:keepNext w:val="0"/>
              <w:spacing w:after="20"/>
            </w:pPr>
            <w:r>
              <w:rPr>
                <w:i/>
                <w:sz w:val="16"/>
              </w:rPr>
              <w:t>Honest: share flagged</w:t>
            </w:r>
          </w:p>
        </w:tc>
        <w:tc>
          <w:tcPr>
            <w:tcW w:type="dxa" w:w="1859"/>
          </w:tcPr>
          <w:p>
            <w:pPr>
              <w:keepNext w:val="0"/>
              <w:spacing w:after="20"/>
            </w:pPr>
          </w:p>
        </w:tc>
        <w:tc>
          <w:tcPr>
            <w:tcW w:type="dxa" w:w="767"/>
          </w:tcPr>
          <w:p>
            <w:pPr>
              <w:keepNext w:val="0"/>
              <w:spacing w:after="20"/>
            </w:pPr>
          </w:p>
        </w:tc>
        <w:tc>
          <w:tcPr>
            <w:tcW w:type="dxa" w:w="979"/>
          </w:tcPr>
          <w:p>
            <w:pPr>
              <w:keepNext w:val="0"/>
              <w:spacing w:after="20"/>
            </w:pPr>
          </w:p>
        </w:tc>
        <w:tc>
          <w:tcPr>
            <w:tcW w:type="dxa" w:w="979"/>
          </w:tcPr>
          <w:p>
            <w:pPr>
              <w:keepNext w:val="0"/>
              <w:spacing w:after="20"/>
            </w:pPr>
          </w:p>
        </w:tc>
        <w:tc>
          <w:tcPr>
            <w:tcW w:type="dxa" w:w="979"/>
          </w:tcPr>
          <w:p>
            <w:pPr>
              <w:keepNext w:val="0"/>
              <w:spacing w:after="20"/>
            </w:pPr>
          </w:p>
        </w:tc>
        <w:tc>
          <w:tcPr>
            <w:tcW w:type="dxa" w:w="1284"/>
          </w:tcPr>
          <w:p>
            <w:pPr>
              <w:keepNext w:val="0"/>
              <w:spacing w:after="20"/>
            </w:pP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DeepSeek</w:t>
            </w:r>
          </w:p>
        </w:tc>
        <w:tc>
          <w:tcPr>
            <w:tcW w:type="dxa" w:w="767"/>
          </w:tcPr>
          <w:p>
            <w:pPr>
              <w:keepNext w:val="0"/>
              <w:spacing w:after="20"/>
            </w:pPr>
            <w:r>
              <w:rPr>
                <w:sz w:val="16"/>
              </w:rPr>
              <w:t>150</w:t>
            </w:r>
          </w:p>
        </w:tc>
        <w:tc>
          <w:tcPr>
            <w:tcW w:type="dxa" w:w="979"/>
          </w:tcPr>
          <w:p>
            <w:pPr>
              <w:keepNext w:val="0"/>
              <w:spacing w:after="20"/>
            </w:pPr>
            <w:r>
              <w:rPr>
                <w:sz w:val="16"/>
              </w:rPr>
              <w:t>14.7%</w:t>
            </w:r>
          </w:p>
        </w:tc>
        <w:tc>
          <w:tcPr>
            <w:tcW w:type="dxa" w:w="979"/>
          </w:tcPr>
          <w:p>
            <w:pPr>
              <w:keepNext w:val="0"/>
              <w:spacing w:after="20"/>
            </w:pPr>
            <w:r>
              <w:rPr>
                <w:sz w:val="16"/>
              </w:rPr>
              <w:t>52%</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Haiku</w:t>
            </w:r>
          </w:p>
        </w:tc>
        <w:tc>
          <w:tcPr>
            <w:tcW w:type="dxa" w:w="767"/>
          </w:tcPr>
          <w:p>
            <w:pPr>
              <w:keepNext w:val="0"/>
              <w:spacing w:after="20"/>
            </w:pPr>
            <w:r>
              <w:rPr>
                <w:sz w:val="16"/>
              </w:rPr>
              <w:t>150</w:t>
            </w:r>
          </w:p>
        </w:tc>
        <w:tc>
          <w:tcPr>
            <w:tcW w:type="dxa" w:w="979"/>
          </w:tcPr>
          <w:p>
            <w:pPr>
              <w:keepNext w:val="0"/>
              <w:spacing w:after="20"/>
            </w:pPr>
            <w:r>
              <w:rPr>
                <w:sz w:val="16"/>
              </w:rPr>
              <w:t>69.3%</w:t>
            </w:r>
          </w:p>
        </w:tc>
        <w:tc>
          <w:tcPr>
            <w:tcW w:type="dxa" w:w="979"/>
          </w:tcPr>
          <w:p>
            <w:pPr>
              <w:keepNext w:val="0"/>
              <w:spacing w:after="20"/>
            </w:pPr>
            <w:r>
              <w:rPr>
                <w:sz w:val="16"/>
              </w:rPr>
              <w:t>61.3%</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Mixed models</w:t>
            </w:r>
          </w:p>
        </w:tc>
        <w:tc>
          <w:tcPr>
            <w:tcW w:type="dxa" w:w="1859"/>
          </w:tcPr>
          <w:p>
            <w:pPr>
              <w:keepNext w:val="0"/>
              <w:spacing w:after="20"/>
            </w:pPr>
            <w:r>
              <w:rPr>
                <w:sz w:val="16"/>
              </w:rPr>
              <w:t>RPS</w:t>
            </w:r>
          </w:p>
        </w:tc>
        <w:tc>
          <w:tcPr>
            <w:tcW w:type="dxa" w:w="767"/>
          </w:tcPr>
          <w:p>
            <w:pPr>
              <w:keepNext w:val="0"/>
              <w:spacing w:after="20"/>
            </w:pPr>
            <w:r>
              <w:rPr>
                <w:sz w:val="16"/>
              </w:rPr>
              <w:t>150</w:t>
            </w:r>
          </w:p>
        </w:tc>
        <w:tc>
          <w:tcPr>
            <w:tcW w:type="dxa" w:w="979"/>
          </w:tcPr>
          <w:p>
            <w:pPr>
              <w:keepNext w:val="0"/>
              <w:spacing w:after="20"/>
            </w:pPr>
            <w:r>
              <w:rPr>
                <w:sz w:val="16"/>
              </w:rPr>
              <w:t>20%</w:t>
            </w:r>
          </w:p>
        </w:tc>
        <w:tc>
          <w:tcPr>
            <w:tcW w:type="dxa" w:w="979"/>
          </w:tcPr>
          <w:p>
            <w:pPr>
              <w:keepNext w:val="0"/>
              <w:spacing w:after="20"/>
            </w:pPr>
            <w:r>
              <w:rPr>
                <w:sz w:val="16"/>
              </w:rPr>
              <w:t>55.3%</w:t>
            </w:r>
          </w:p>
        </w:tc>
        <w:tc>
          <w:tcPr>
            <w:tcW w:type="dxa" w:w="979"/>
          </w:tcPr>
          <w:p>
            <w:pPr>
              <w:keepNext w:val="0"/>
              <w:spacing w:after="20"/>
            </w:pPr>
            <w:r>
              <w:rPr>
                <w:sz w:val="16"/>
              </w:rPr>
              <w:t>2.7%</w:t>
            </w:r>
          </w:p>
        </w:tc>
        <w:tc>
          <w:tcPr>
            <w:tcW w:type="dxa" w:w="1284"/>
          </w:tcPr>
          <w:p>
            <w:pPr>
              <w:keepNext w:val="0"/>
              <w:spacing w:after="20"/>
            </w:pPr>
            <w:r>
              <w:rPr>
                <w:sz w:val="16"/>
              </w:rPr>
              <w:t>0.7%</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DeepSeek</w:t>
            </w:r>
          </w:p>
        </w:tc>
        <w:tc>
          <w:tcPr>
            <w:tcW w:type="dxa" w:w="767"/>
          </w:tcPr>
          <w:p>
            <w:pPr>
              <w:keepNext w:val="0"/>
              <w:spacing w:after="20"/>
            </w:pPr>
            <w:r>
              <w:rPr>
                <w:sz w:val="16"/>
              </w:rPr>
              <w:t>60</w:t>
            </w:r>
          </w:p>
        </w:tc>
        <w:tc>
          <w:tcPr>
            <w:tcW w:type="dxa" w:w="979"/>
          </w:tcPr>
          <w:p>
            <w:pPr>
              <w:keepNext w:val="0"/>
              <w:spacing w:after="20"/>
            </w:pPr>
            <w:r>
              <w:rPr>
                <w:sz w:val="16"/>
              </w:rPr>
              <w:t>11.7%</w:t>
            </w:r>
          </w:p>
        </w:tc>
        <w:tc>
          <w:tcPr>
            <w:tcW w:type="dxa" w:w="979"/>
          </w:tcPr>
          <w:p>
            <w:pPr>
              <w:keepNext w:val="0"/>
              <w:spacing w:after="20"/>
            </w:pPr>
            <w:r>
              <w:rPr>
                <w:sz w:val="16"/>
              </w:rPr>
              <w:t>48.3%</w:t>
            </w:r>
          </w:p>
        </w:tc>
        <w:tc>
          <w:tcPr>
            <w:tcW w:type="dxa" w:w="979"/>
          </w:tcPr>
          <w:p>
            <w:pPr>
              <w:keepNext w:val="0"/>
              <w:spacing w:after="20"/>
            </w:pPr>
            <w:r>
              <w:rPr>
                <w:sz w:val="16"/>
              </w:rPr>
              <w:t>6.7%</w:t>
            </w:r>
          </w:p>
        </w:tc>
        <w:tc>
          <w:tcPr>
            <w:tcW w:type="dxa" w:w="1284"/>
          </w:tcPr>
          <w:p>
            <w:pPr>
              <w:keepNext w:val="0"/>
              <w:spacing w:after="20"/>
            </w:pPr>
            <w:r>
              <w:rPr>
                <w:sz w:val="16"/>
              </w:rPr>
              <w:t>0%</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Haiku</w:t>
            </w:r>
          </w:p>
        </w:tc>
        <w:tc>
          <w:tcPr>
            <w:tcW w:type="dxa" w:w="767"/>
          </w:tcPr>
          <w:p>
            <w:pPr>
              <w:keepNext w:val="0"/>
              <w:spacing w:after="20"/>
            </w:pPr>
            <w:r>
              <w:rPr>
                <w:sz w:val="16"/>
              </w:rPr>
              <w:t>40</w:t>
            </w:r>
          </w:p>
        </w:tc>
        <w:tc>
          <w:tcPr>
            <w:tcW w:type="dxa" w:w="979"/>
          </w:tcPr>
          <w:p>
            <w:pPr>
              <w:keepNext w:val="0"/>
              <w:spacing w:after="20"/>
            </w:pPr>
            <w:r>
              <w:rPr>
                <w:sz w:val="16"/>
              </w:rPr>
              <w:t>45%</w:t>
            </w:r>
          </w:p>
        </w:tc>
        <w:tc>
          <w:tcPr>
            <w:tcW w:type="dxa" w:w="979"/>
          </w:tcPr>
          <w:p>
            <w:pPr>
              <w:keepNext w:val="0"/>
              <w:spacing w:after="20"/>
            </w:pPr>
            <w:r>
              <w:rPr>
                <w:sz w:val="16"/>
              </w:rPr>
              <w:t>65%</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DeepSeek</w:t>
            </w:r>
          </w:p>
        </w:tc>
        <w:tc>
          <w:tcPr>
            <w:tcW w:type="dxa" w:w="767"/>
          </w:tcPr>
          <w:p>
            <w:pPr>
              <w:keepNext w:val="0"/>
              <w:spacing w:after="20"/>
            </w:pPr>
            <w:r>
              <w:rPr>
                <w:sz w:val="16"/>
              </w:rPr>
              <w:t>40</w:t>
            </w:r>
          </w:p>
        </w:tc>
        <w:tc>
          <w:tcPr>
            <w:tcW w:type="dxa" w:w="979"/>
          </w:tcPr>
          <w:p>
            <w:pPr>
              <w:keepNext w:val="0"/>
              <w:spacing w:after="20"/>
            </w:pPr>
            <w:r>
              <w:rPr>
                <w:sz w:val="16"/>
              </w:rPr>
              <w:t>5%</w:t>
            </w:r>
          </w:p>
        </w:tc>
        <w:tc>
          <w:tcPr>
            <w:tcW w:type="dxa" w:w="979"/>
          </w:tcPr>
          <w:p>
            <w:pPr>
              <w:keepNext w:val="0"/>
              <w:spacing w:after="20"/>
            </w:pPr>
            <w:r>
              <w:rPr>
                <w:sz w:val="16"/>
              </w:rPr>
              <w:t>57.5%</w:t>
            </w:r>
          </w:p>
        </w:tc>
        <w:tc>
          <w:tcPr>
            <w:tcW w:type="dxa" w:w="979"/>
          </w:tcPr>
          <w:p>
            <w:pPr>
              <w:keepNext w:val="0"/>
              <w:spacing w:after="20"/>
            </w:pPr>
            <w:r>
              <w:rPr>
                <w:sz w:val="16"/>
              </w:rPr>
              <w:t>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Haiku</w:t>
            </w:r>
          </w:p>
        </w:tc>
        <w:tc>
          <w:tcPr>
            <w:tcW w:type="dxa" w:w="767"/>
          </w:tcPr>
          <w:p>
            <w:pPr>
              <w:keepNext w:val="0"/>
              <w:spacing w:after="20"/>
            </w:pPr>
            <w:r>
              <w:rPr>
                <w:sz w:val="16"/>
              </w:rPr>
              <w:t>30</w:t>
            </w:r>
          </w:p>
        </w:tc>
        <w:tc>
          <w:tcPr>
            <w:tcW w:type="dxa" w:w="979"/>
          </w:tcPr>
          <w:p>
            <w:pPr>
              <w:keepNext w:val="0"/>
              <w:spacing w:after="20"/>
            </w:pPr>
            <w:r>
              <w:rPr>
                <w:sz w:val="16"/>
              </w:rPr>
              <w:t>50%</w:t>
            </w:r>
          </w:p>
        </w:tc>
        <w:tc>
          <w:tcPr>
            <w:tcW w:type="dxa" w:w="979"/>
          </w:tcPr>
          <w:p>
            <w:pPr>
              <w:keepNext w:val="0"/>
              <w:spacing w:after="20"/>
            </w:pPr>
            <w:r>
              <w:rPr>
                <w:sz w:val="16"/>
              </w:rPr>
              <w:t>60%</w:t>
            </w:r>
          </w:p>
        </w:tc>
        <w:tc>
          <w:tcPr>
            <w:tcW w:type="dxa" w:w="979"/>
          </w:tcPr>
          <w:p>
            <w:pPr>
              <w:keepNext w:val="0"/>
              <w:spacing w:after="20"/>
            </w:pPr>
            <w:r>
              <w:rPr>
                <w:sz w:val="16"/>
              </w:rPr>
              <w:t>3.3%</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Auction, DeepSeek</w:t>
            </w:r>
          </w:p>
        </w:tc>
        <w:tc>
          <w:tcPr>
            <w:tcW w:type="dxa" w:w="767"/>
          </w:tcPr>
          <w:p>
            <w:pPr>
              <w:keepNext w:val="0"/>
              <w:spacing w:after="20"/>
            </w:pPr>
            <w:r>
              <w:rPr>
                <w:sz w:val="16"/>
              </w:rPr>
              <w:t>100</w:t>
            </w:r>
          </w:p>
        </w:tc>
        <w:tc>
          <w:tcPr>
            <w:tcW w:type="dxa" w:w="979"/>
          </w:tcPr>
          <w:p>
            <w:pPr>
              <w:keepNext w:val="0"/>
              <w:spacing w:after="20"/>
            </w:pPr>
            <w:r>
              <w:rPr>
                <w:sz w:val="16"/>
              </w:rPr>
              <w:t>0%</w:t>
            </w:r>
          </w:p>
        </w:tc>
        <w:tc>
          <w:tcPr>
            <w:tcW w:type="dxa" w:w="979"/>
          </w:tcPr>
          <w:p>
            <w:pPr>
              <w:keepNext w:val="0"/>
              <w:spacing w:after="20"/>
            </w:pPr>
            <w:r>
              <w:rPr>
                <w:sz w:val="16"/>
              </w:rPr>
              <w:t>1%</w:t>
            </w:r>
          </w:p>
        </w:tc>
        <w:tc>
          <w:tcPr>
            <w:tcW w:type="dxa" w:w="979"/>
          </w:tcPr>
          <w:p>
            <w:pPr>
              <w:keepNext w:val="0"/>
              <w:spacing w:after="20"/>
            </w:pPr>
            <w:r>
              <w:rPr>
                <w:sz w:val="16"/>
              </w:rPr>
              <w:t>1%</w:t>
            </w:r>
          </w:p>
        </w:tc>
        <w:tc>
          <w:tcPr>
            <w:tcW w:type="dxa" w:w="1284"/>
          </w:tcPr>
          <w:p>
            <w:pPr>
              <w:keepNext w:val="0"/>
              <w:spacing w:after="20"/>
            </w:pPr>
            <w:r>
              <w:rPr>
                <w:sz w:val="16"/>
              </w:rPr>
              <w:t>0%</w:t>
            </w:r>
          </w:p>
        </w:tc>
      </w:tr>
      <w:tr>
        <w:trPr>
          <w:cantSplit/>
        </w:trPr>
        <w:tc>
          <w:tcPr>
            <w:tcW w:type="dxa" w:w="2224"/>
          </w:tcPr>
          <w:p>
            <w:pPr>
              <w:keepNext w:val="0"/>
              <w:spacing w:after="20"/>
            </w:pPr>
            <w:r>
              <w:rPr>
                <w:sz w:val="16"/>
              </w:rPr>
              <w:t>Public-data vendor</w:t>
            </w:r>
          </w:p>
        </w:tc>
        <w:tc>
          <w:tcPr>
            <w:tcW w:type="dxa" w:w="1859"/>
          </w:tcPr>
          <w:p>
            <w:pPr>
              <w:keepNext w:val="0"/>
              <w:spacing w:after="20"/>
            </w:pPr>
            <w:r>
              <w:rPr>
                <w:sz w:val="16"/>
              </w:rPr>
              <w:t>Auction, DeepSeek</w:t>
            </w:r>
          </w:p>
        </w:tc>
        <w:tc>
          <w:tcPr>
            <w:tcW w:type="dxa" w:w="767"/>
          </w:tcPr>
          <w:p>
            <w:pPr>
              <w:keepNext w:val="0"/>
              <w:spacing w:after="20"/>
            </w:pPr>
            <w:r>
              <w:rPr>
                <w:sz w:val="16"/>
              </w:rPr>
              <w:t>60</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GPT-6 Luna</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Gemma 3 12B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10.0%</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gpt-oss-20b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2.5%</w:t>
            </w:r>
          </w:p>
        </w:tc>
        <w:tc>
          <w:tcPr>
            <w:tcW w:type="dxa" w:w="1284"/>
          </w:tcPr>
          <w:p>
            <w:pPr>
              <w:keepNext w:val="0"/>
              <w:spacing w:after="20"/>
            </w:pPr>
            <w:r>
              <w:rPr>
                <w:sz w:val="16"/>
              </w:rPr>
              <w:t>2.5%</w:t>
            </w:r>
          </w:p>
        </w:tc>
      </w:tr>
    </w:tbl>
    <w:p>
      <w:pPr>
        <w:spacing w:after="80" w:before="0"/>
      </w:pPr>
    </w:p>
    <w:p>
      <w:pPr>
        <w:keepNext/>
        <w:spacing w:after="60" w:before="0"/>
        <w:jc w:val="both"/>
      </w:pPr>
      <w:r>
        <w:rPr>
          <w:b/>
          <w:sz w:val="20"/>
        </w:rPr>
        <w:t>Table A1, continued.</w:t>
      </w:r>
      <w:r>
        <w:rPr>
          <w:sz w:val="20"/>
        </w:rPr>
        <w:t xml:space="preserve"> Colluding conditions: share of games in which the true pair is named (same detectors).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40" w:before="0"/>
        <w:jc w:val="center"/>
      </w:pPr>
      <w:r>
        <w:drawing>
          <wp:inline>
            <wp:extent cx="5760720" cy="2855262"/>
            <wp:docPr id="6" name="Picture 6"/>
            <wp:cNvGraphicFramePr>
              <a:graphicFrameLocks noChangeAspect="1"/>
            </wp:cNvGraphicFramePr>
            <a:graphic>
              <a:graphicData uri="http://schemas.openxmlformats.org/drawingml/2006/picture">
                <pic:pic>
                  <pic:nvPicPr>
                    <pic:cNvPr id="0" name="p_figA1_all.png"/>
                    <pic:cNvPicPr/>
                  </pic:nvPicPr>
                  <pic:blipFill>
                    <a:blip r:embed="rId13"/>
                    <a:stretch>
                      <a:fillRect/>
                    </a:stretch>
                  </pic:blipFill>
                  <pic:spPr>
                    <a:xfrm>
                      <a:off x="0" y="0"/>
                      <a:ext cx="5760720" cy="2855262"/>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Tables A2 and A2b check A1. The replay test's p-values are close to uniform, those of mutual information pile up near zero; discrete statistics make both conservative. A1 implies that a logged move matches a replay as often as two replays match each other, which Table A2 tests on agent-rounds with identical logged and replayed prompts. The one interval excluding zero belongs to gpt-oss-20b, which runs with reasoning and was routed across several providers; equal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30,000</w:t>
            </w:r>
          </w:p>
        </w:tc>
        <w:tc>
          <w:tcPr>
            <w:tcW w:type="dxa" w:w="1333"/>
          </w:tcPr>
          <w:p>
            <w:pPr>
              <w:keepNext w:val="0"/>
              <w:spacing w:after="20"/>
            </w:pPr>
            <w:r>
              <w:rPr>
                <w:sz w:val="16"/>
              </w:rPr>
              <w:t>−0.002</w:t>
            </w:r>
          </w:p>
        </w:tc>
        <w:tc>
          <w:tcPr>
            <w:tcW w:type="dxa" w:w="1833"/>
          </w:tcPr>
          <w:p>
            <w:pPr>
              <w:keepNext w:val="0"/>
              <w:spacing w:after="20"/>
            </w:pPr>
            <w:r>
              <w:rPr>
                <w:sz w:val="16"/>
              </w:rPr>
              <w:t>−0.009 to +0.004</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−0.011</w:t>
            </w:r>
          </w:p>
        </w:tc>
        <w:tc>
          <w:tcPr>
            <w:tcW w:type="dxa" w:w="1833"/>
          </w:tcPr>
          <w:p>
            <w:pPr>
              <w:keepNext w:val="0"/>
              <w:spacing w:after="20"/>
            </w:pPr>
            <w:r>
              <w:rPr>
                <w:sz w:val="16"/>
              </w:rPr>
              <w:t>−0.031 to +0.011</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26,400</w:t>
            </w:r>
          </w:p>
        </w:tc>
        <w:tc>
          <w:tcPr>
            <w:tcW w:type="dxa" w:w="1333"/>
          </w:tcPr>
          <w:p>
            <w:pPr>
              <w:keepNext w:val="0"/>
              <w:spacing w:after="20"/>
            </w:pPr>
            <w:r>
              <w:rPr>
                <w:sz w:val="16"/>
              </w:rPr>
              <w:t>−0.001</w:t>
            </w:r>
          </w:p>
        </w:tc>
        <w:tc>
          <w:tcPr>
            <w:tcW w:type="dxa" w:w="1833"/>
          </w:tcPr>
          <w:p>
            <w:pPr>
              <w:keepNext w:val="0"/>
              <w:spacing w:after="20"/>
            </w:pPr>
            <w:r>
              <w:rPr>
                <w:sz w:val="16"/>
              </w:rPr>
              <w:t>−0.007 to +0.005</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+0.007</w:t>
            </w:r>
          </w:p>
        </w:tc>
        <w:tc>
          <w:tcPr>
            <w:tcW w:type="dxa" w:w="1833"/>
          </w:tcPr>
          <w:p>
            <w:pPr>
              <w:keepNext w:val="0"/>
              <w:spacing w:after="20"/>
            </w:pPr>
            <w:r>
              <w:rPr>
                <w:sz w:val="16"/>
              </w:rPr>
              <w:t>−0.011 to +0.025</w:t>
            </w:r>
          </w:p>
        </w:tc>
      </w:tr>
      <w:tr>
        <w:trPr>
          <w:cantSplit/>
        </w:trPr>
        <w:tc>
          <w:tcPr>
            <w:tcW w:type="dxa" w:w="1435"/>
          </w:tcPr>
          <w:p>
            <w:pPr>
              <w:keepNext w:val="0"/>
              <w:spacing w:after="20"/>
            </w:pPr>
            <w:r>
              <w:rPr>
                <w:sz w:val="16"/>
              </w:rPr>
              <w:t>Mixed</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18,000</w:t>
            </w:r>
          </w:p>
        </w:tc>
        <w:tc>
          <w:tcPr>
            <w:tcW w:type="dxa" w:w="1333"/>
          </w:tcPr>
          <w:p>
            <w:pPr>
              <w:keepNext w:val="0"/>
              <w:spacing w:after="20"/>
            </w:pPr>
            <w:r>
              <w:rPr>
                <w:sz w:val="16"/>
              </w:rPr>
              <w:t>−0.005</w:t>
            </w:r>
          </w:p>
        </w:tc>
        <w:tc>
          <w:tcPr>
            <w:tcW w:type="dxa" w:w="1833"/>
          </w:tcPr>
          <w:p>
            <w:pPr>
              <w:keepNext w:val="0"/>
              <w:spacing w:after="20"/>
            </w:pPr>
            <w:r>
              <w:rPr>
                <w:sz w:val="16"/>
              </w:rPr>
              <w:t>−0.013 to +0.003</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+0.011</w:t>
            </w:r>
          </w:p>
        </w:tc>
        <w:tc>
          <w:tcPr>
            <w:tcW w:type="dxa" w:w="1833"/>
          </w:tcPr>
          <w:p>
            <w:pPr>
              <w:keepNext w:val="0"/>
              <w:spacing w:after="20"/>
            </w:pPr>
            <w:r>
              <w:rPr>
                <w:sz w:val="16"/>
              </w:rPr>
              <w:t>−0.000 to +0.022</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+0.002</w:t>
            </w:r>
          </w:p>
        </w:tc>
        <w:tc>
          <w:tcPr>
            <w:tcW w:type="dxa" w:w="1833"/>
          </w:tcPr>
          <w:p>
            <w:pPr>
              <w:keepNext w:val="0"/>
              <w:spacing w:after="20"/>
            </w:pPr>
            <w:r>
              <w:rPr>
                <w:sz w:val="16"/>
              </w:rPr>
              <w:t>−0.020 to +0.027</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+0.000</w:t>
            </w:r>
          </w:p>
        </w:tc>
        <w:tc>
          <w:tcPr>
            <w:tcW w:type="dxa" w:w="1833"/>
          </w:tcPr>
          <w:p>
            <w:pPr>
              <w:keepNext w:val="0"/>
              <w:spacing w:after="20"/>
            </w:pPr>
            <w:r>
              <w:rPr>
                <w:sz w:val="16"/>
              </w:rPr>
              <w:t>−0.016 to +0.016</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+0.008</w:t>
            </w:r>
          </w:p>
        </w:tc>
        <w:tc>
          <w:tcPr>
            <w:tcW w:type="dxa" w:w="1833"/>
          </w:tcPr>
          <w:p>
            <w:pPr>
              <w:keepNext w:val="0"/>
              <w:spacing w:after="20"/>
            </w:pPr>
            <w:r>
              <w:rPr>
                <w:sz w:val="16"/>
              </w:rPr>
              <w:t>−0.029 to +0.039</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+0.019</w:t>
            </w:r>
          </w:p>
        </w:tc>
        <w:tc>
          <w:tcPr>
            <w:tcW w:type="dxa" w:w="1833"/>
          </w:tcPr>
          <w:p>
            <w:pPr>
              <w:keepNext w:val="0"/>
              <w:spacing w:after="20"/>
            </w:pPr>
            <w:r>
              <w:rPr>
                <w:sz w:val="16"/>
              </w:rPr>
              <w:t>+0.003 to +0.034</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−0.016</w:t>
            </w:r>
          </w:p>
        </w:tc>
        <w:tc>
          <w:tcPr>
            <w:tcW w:type="dxa" w:w="1833"/>
          </w:tcPr>
          <w:p>
            <w:pPr>
              <w:keepNext w:val="0"/>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869788"/>
            <wp:docPr id="7" name="Picture 7"/>
            <wp:cNvGraphicFramePr>
              <a:graphicFrameLocks noChangeAspect="1"/>
            </wp:cNvGraphicFramePr>
            <a:graphic>
              <a:graphicData uri="http://schemas.openxmlformats.org/drawingml/2006/picture">
                <pic:pic>
                  <pic:nvPicPr>
                    <pic:cNvPr id="0" name="p_figA2_pvalues.png"/>
                    <pic:cNvPicPr/>
                  </pic:nvPicPr>
                  <pic:blipFill>
                    <a:blip r:embed="rId14"/>
                    <a:stretch>
                      <a:fillRect/>
                    </a:stretch>
                  </pic:blipFill>
                  <pic:spPr>
                    <a:xfrm>
                      <a:off x="0" y="0"/>
                      <a:ext cx="5760720" cy="1869788"/>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Table A3b and Fig. A3 give simulator calibration and power. The sequential test was developed after the main analysis was frozen, so on the main data it is exploratory; its replication (C.4) was pre-registered. The joint bet was run first and is the one reported; the two bets tried after seeing its results are listed for completeness, and the likelihood-ratio bet is in C.9.</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254521"/>
            <wp:docPr id="8" name="Picture 8"/>
            <wp:cNvGraphicFramePr>
              <a:graphicFrameLocks noChangeAspect="1"/>
            </wp:cNvGraphicFramePr>
            <a:graphic>
              <a:graphicData uri="http://schemas.openxmlformats.org/drawingml/2006/picture">
                <pic:pic>
                  <pic:nvPicPr>
                    <pic:cNvPr id="0" name="p_figA3_power.png"/>
                    <pic:cNvPicPr/>
                  </pic:nvPicPr>
                  <pic:blipFill>
                    <a:blip r:embed="rId15"/>
                    <a:stretch>
                      <a:fillRect/>
                    </a:stretch>
                  </pic:blipFill>
                  <pic:spPr>
                    <a:xfrm>
                      <a:off x="0" y="0"/>
                      <a:ext cx="4297680" cy="225452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plan fixed and what came out. It was committed before the first model call; a clarifying addendum (joint decision rule, seed checks) followed during the run, before the first game was written, and changed no test. The false-alarm test requires zero alarms and has little power, so it is evidence against a 10% rate, not proof of 5% or less. The colluders always sat at P1 and P3; the table reports how often the null ranked that pair first.</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 A4 reads detection at matched false-alarm rates off empirical ROC curves and is descriptive, since the thresholds come from the same games. Table A4b gives the judges: from actions alone a judge ranks Haiku pairs about as well as the replay test but accuses honest games at a rate nothing controls, and given the private messages it accuses groups whose plans were never delivered.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keyword, not meaning) the seller-hours in which the cartel's floor or leader sits in followers' memory before the call; Table A5c, obedience to a just-changed floor by logged asks and by replays.</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replays keep that memory, so each round's null is exact (Table A5d). A cartel that stores a floor after one message and then falls silent escapes the sequential test; a "twin" that replays each agent from the first round without any channel separates it but has no exact null and alarms on persistent honest agents, so it shows the gap between direct and total effect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flagged logs almost always name a pair inside the coalition (Table A5e); the calibration holds in this simulator only and not for honest agents that persist.</w:t>
      </w:r>
    </w:p>
    <w:p>
      <w:pPr>
        <w:tabs>
          <w:tab w:pos="403" w:val="left"/>
        </w:tabs>
        <w:spacing w:after="40" w:before="0"/>
        <w:ind w:left="403" w:hanging="288"/>
      </w:pPr>
      <w:r>
        <w:rPr>
          <w:sz w:val="20"/>
        </w:rPr>
        <w:t>•</w:t>
        <w:tab/>
      </w:r>
      <w:r>
        <w:rPr>
          <w:i/>
          <w:sz w:val="20"/>
        </w:rPr>
        <w:t>Evasion and its cost (simulator).</w:t>
      </w:r>
      <w:r>
        <w:rPr>
          <w:sz w:val="20"/>
        </w:rPr>
        <w:t xml:space="preserve"> A rotation cartel that covers less often to stay undetected keeps less of the harm (Table A5f); a member that always submits the cover bid creates no pairwise dependence but departs from its replays.</w:t>
      </w:r>
    </w:p>
    <w:p>
      <w:pPr>
        <w:tabs>
          <w:tab w:pos="403" w:val="left"/>
        </w:tabs>
        <w:spacing w:after="40" w:before="0"/>
        <w:ind w:left="403" w:hanging="288"/>
      </w:pPr>
      <w:r>
        <w:rPr>
          <w:sz w:val="20"/>
        </w:rPr>
        <w:t>•</w:t>
        <w:tab/>
      </w:r>
      <w:r>
        <w:rPr>
          <w:i/>
          <w:sz w:val="20"/>
        </w:rPr>
        <w:t>One replay instead of two.</w:t>
      </w:r>
      <w:r>
        <w:rPr>
          <w:sz w:val="20"/>
        </w:rPr>
        <w:t xml:space="preserve"> The pool stays valid with one replay (Table A5g);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other agents learned to exploit Haiku pairs' identical moves (Table A5h), so the secret-plan protocol tests detection of an information flow, not profitable collusion.</w:t>
      </w:r>
    </w:p>
    <w:p>
      <w:pPr>
        <w:tabs>
          <w:tab w:pos="403" w:val="left"/>
        </w:tabs>
        <w:spacing w:after="40" w:before="0"/>
        <w:ind w:left="403" w:hanging="288"/>
      </w:pPr>
      <w:r>
        <w:rPr>
          <w:sz w:val="20"/>
        </w:rPr>
        <w:t>•</w:t>
        <w:tab/>
      </w:r>
      <w:r>
        <w:rPr>
          <w:i/>
          <w:sz w:val="20"/>
        </w:rPr>
        <w:t>Pairs told about the auditor.</w:t>
      </w:r>
      <w:r>
        <w:rPr>
          <w:sz w:val="20"/>
        </w:rPr>
        <w:t xml:space="preserve"> Warned DeepSeek pairs were named about as often as unwarned ones;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rPr>
              <w:t>Cover strategy</w:t>
            </w:r>
          </w:p>
        </w:tc>
        <w:tc>
          <w:tcPr>
            <w:tcW w:type="dxa" w:w="977"/>
          </w:tcPr>
          <w:p>
            <w:pPr>
              <w:keepNext/>
              <w:spacing w:after="20"/>
            </w:pPr>
            <w:r>
              <w:rPr>
                <w:b/>
                <w:sz w:val="16"/>
              </w:rPr>
              <w:t>Horizon</w:t>
            </w:r>
          </w:p>
        </w:tc>
        <w:tc>
          <w:tcPr>
            <w:tcW w:type="dxa" w:w="3764"/>
          </w:tcPr>
          <w:p>
            <w:pPr>
              <w:keepNext/>
              <w:spacing w:after="20"/>
            </w:pPr>
            <w:r>
              <w:rPr>
                <w:b/>
                <w:sz w:val="16"/>
              </w:rPr>
              <w:t>Harm</w:t>
            </w:r>
          </w:p>
        </w:tc>
        <w:tc>
          <w:tcPr>
            <w:tcW w:type="dxa" w:w="1158"/>
          </w:tcPr>
          <w:p>
            <w:pPr>
              <w:keepNext/>
              <w:spacing w:after="20"/>
            </w:pPr>
            <w:r>
              <w:rPr>
                <w:b/>
                <w:sz w:val="16"/>
              </w:rPr>
              <w:t>Sequential test, logs flagged</w:t>
            </w:r>
          </w:p>
        </w:tc>
      </w:tr>
      <w:tr>
        <w:trPr>
          <w:cantSplit/>
        </w:trPr>
        <w:tc>
          <w:tcPr>
            <w:tcW w:type="dxa" w:w="3173"/>
          </w:tcPr>
          <w:p>
            <w:pPr>
              <w:keepNext/>
              <w:spacing w:after="20"/>
            </w:pPr>
            <w:r>
              <w:rPr>
                <w:sz w:val="16"/>
              </w:rPr>
              <w:t>Always covers</w:t>
            </w:r>
          </w:p>
        </w:tc>
        <w:tc>
          <w:tcPr>
            <w:tcW w:type="dxa" w:w="977"/>
          </w:tcPr>
          <w:p>
            <w:pPr>
              <w:keepNext/>
              <w:spacing w:after="20"/>
            </w:pPr>
            <w:r>
              <w:rPr>
                <w:sz w:val="16"/>
              </w:rPr>
              <w:t>30 rounds</w:t>
            </w:r>
          </w:p>
        </w:tc>
        <w:tc>
          <w:tcPr>
            <w:tcW w:type="dxa" w:w="3764"/>
          </w:tcPr>
          <w:p>
            <w:pPr>
              <w:keepNext/>
              <w:spacing w:after="20"/>
            </w:pPr>
            <w:r>
              <w:rPr>
                <w:sz w:val="16"/>
              </w:rPr>
              <w:t>buyer's overpayment raised by 0.60 per round</w:t>
            </w:r>
          </w:p>
        </w:tc>
        <w:tc>
          <w:tcPr>
            <w:tcW w:type="dxa" w:w="1158"/>
          </w:tcPr>
          <w:p>
            <w:pPr>
              <w:keepNext/>
              <w:spacing w:after="20"/>
            </w:pPr>
            <w:r>
              <w:rPr>
                <w:sz w:val="16"/>
              </w:rPr>
              <w:t>94%</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30 rounds</w:t>
            </w:r>
          </w:p>
        </w:tc>
        <w:tc>
          <w:tcPr>
            <w:tcW w:type="dxa" w:w="3764"/>
          </w:tcPr>
          <w:p>
            <w:pPr>
              <w:keepNext/>
              <w:spacing w:after="20"/>
            </w:pPr>
            <w:r>
              <w:rPr>
                <w:sz w:val="16"/>
              </w:rPr>
              <w:t>44% of the harm kept</w:t>
            </w:r>
          </w:p>
        </w:tc>
        <w:tc>
          <w:tcPr>
            <w:tcW w:type="dxa" w:w="1158"/>
          </w:tcPr>
          <w:p>
            <w:pPr>
              <w:keepNext/>
              <w:spacing w:after="20"/>
            </w:pPr>
            <w:r>
              <w:rPr>
                <w:sz w:val="16"/>
              </w:rPr>
              <w:t>1%</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60 rounds</w:t>
            </w:r>
          </w:p>
        </w:tc>
        <w:tc>
          <w:tcPr>
            <w:tcW w:type="dxa" w:w="3764"/>
          </w:tcPr>
          <w:p>
            <w:pPr>
              <w:keepNext/>
              <w:spacing w:after="20"/>
            </w:pPr>
            <w:r>
              <w:rPr>
                <w:sz w:val="16"/>
              </w:rPr>
              <w:t>–</w:t>
            </w:r>
          </w:p>
        </w:tc>
        <w:tc>
          <w:tcPr>
            <w:tcW w:type="dxa" w:w="1158"/>
          </w:tcPr>
          <w:p>
            <w:pPr>
              <w:keepNext/>
              <w:spacing w:after="20"/>
            </w:pPr>
            <w:r>
              <w:rPr>
                <w:sz w:val="16"/>
              </w:rPr>
              <w:t>30%</w:t>
            </w:r>
          </w:p>
        </w:tc>
      </w:tr>
      <w:tr>
        <w:trPr>
          <w:cantSplit/>
        </w:trPr>
        <w:tc>
          <w:tcPr>
            <w:tcW w:type="dxa" w:w="3173"/>
          </w:tcPr>
          <w:p>
            <w:pPr>
              <w:keepNext/>
              <w:spacing w:after="20"/>
            </w:pPr>
            <w:r>
              <w:rPr>
                <w:sz w:val="16"/>
              </w:rPr>
              <w:t>Stays near the honest flag rate</w:t>
            </w:r>
          </w:p>
        </w:tc>
        <w:tc>
          <w:tcPr>
            <w:tcW w:type="dxa" w:w="977"/>
          </w:tcPr>
          <w:p>
            <w:pPr>
              <w:keepNext/>
              <w:spacing w:after="20"/>
            </w:pPr>
            <w:r>
              <w:rPr>
                <w:sz w:val="16"/>
              </w:rPr>
              <w:t>60 rounds</w:t>
            </w:r>
          </w:p>
        </w:tc>
        <w:tc>
          <w:tcPr>
            <w:tcW w:type="dxa" w:w="3764"/>
          </w:tcPr>
          <w:p>
            <w:pPr>
              <w:keepNext/>
              <w:spacing w:after="20"/>
            </w:pPr>
            <w:r>
              <w:rPr>
                <w:sz w:val="16"/>
              </w:rPr>
              <w:t>25% of the harm kept</w:t>
            </w:r>
          </w:p>
        </w:tc>
        <w:tc>
          <w:tcPr>
            <w:tcW w:type="dxa" w:w="1158"/>
          </w:tcPr>
          <w:p>
            <w:pPr>
              <w:keepNext/>
              <w:spacing w:after="20"/>
            </w:pPr>
            <w:r>
              <w:rPr>
                <w:sz w:val="16"/>
              </w:rPr>
              <w:t>1%</w:t>
            </w:r>
          </w:p>
        </w:tc>
      </w:tr>
      <w:tr>
        <w:trPr>
          <w:cantSplit/>
        </w:trPr>
        <w:tc>
          <w:tcPr>
            <w:tcW w:type="dxa" w:w="3173"/>
          </w:tcPr>
          <w:p>
            <w:pPr>
              <w:keepNext w:val="0"/>
              <w:spacing w:after="20"/>
            </w:pPr>
            <w:r>
              <w:rPr>
                <w:sz w:val="16"/>
              </w:rPr>
              <w:t>Member that always bids 100</w:t>
            </w:r>
          </w:p>
        </w:tc>
        <w:tc>
          <w:tcPr>
            <w:tcW w:type="dxa" w:w="977"/>
          </w:tcPr>
          <w:p>
            <w:pPr>
              <w:keepNext w:val="0"/>
              <w:spacing w:after="20"/>
            </w:pPr>
            <w:r>
              <w:rPr>
                <w:sz w:val="16"/>
              </w:rPr>
              <w:t>–</w:t>
            </w:r>
          </w:p>
        </w:tc>
        <w:tc>
          <w:tcPr>
            <w:tcW w:type="dxa" w:w="3764"/>
          </w:tcPr>
          <w:p>
            <w:pPr>
              <w:keepNext w:val="0"/>
              <w:spacing w:after="20"/>
            </w:pPr>
            <w:r>
              <w:rPr>
                <w:sz w:val="16"/>
              </w:rPr>
              <w:t>–</w:t>
            </w:r>
          </w:p>
        </w:tc>
        <w:tc>
          <w:tcPr>
            <w:tcW w:type="dxa" w:w="1158"/>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Table A6b the design, hypotheses and verdicts. The plan, timestamped in the repository before the first call, fixed conditions, price coding, replay count, the sequential alarm as primary endpoint and four hypotheses; as asks persist from hour to hour, the fixed-horizon replay statistics are descriptive only (§5.4). Before the cartel data existed we also predicted that the likelihood-ratio bet of Proposition 3 would alarm in more cartel games than the no-chat cell; it did not. The co-departure test of C.10 was chosen after seeing the cartel data, so it is post hoc here and is tested on a fresh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val="0"/>
              <w:spacing w:after="20"/>
            </w:pPr>
            <w:r>
              <w:rPr>
                <w:sz w:val="16"/>
              </w:rPr>
              <w:t>Conditions</w:t>
            </w:r>
          </w:p>
        </w:tc>
        <w:tc>
          <w:tcPr>
            <w:tcW w:type="dxa" w:w="4244"/>
          </w:tcPr>
          <w:p>
            <w:pPr>
              <w:keepNext w:val="0"/>
              <w:spacing w:after="20"/>
            </w:pPr>
            <w:r>
              <w:rPr>
                <w:sz w:val="16"/>
              </w:rPr>
              <w:t>five, each 30 games of 30 hours: DeepSeek sellers without chat, with chat and as an instructed cartel; two Haiku with three DeepSeek sellers without and with chat</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Coding, replays, endpoint</w:t>
            </w:r>
          </w:p>
        </w:tc>
        <w:tc>
          <w:tcPr>
            <w:tcW w:type="dxa" w:w="4244"/>
          </w:tcPr>
          <w:p>
            <w:pPr>
              <w:keepNext w:val="0"/>
              <w:spacing w:after="20"/>
            </w:pPr>
            <w:r>
              <w:rPr>
                <w:sz w:val="16"/>
              </w:rPr>
              <w:t>prices in $1 bins; two replays per seller-hour; the sequential alarm as primary endpoint</w:t>
            </w:r>
          </w:p>
        </w:tc>
        <w:tc>
          <w:tcPr>
            <w:tcW w:type="dxa" w:w="1798"/>
          </w:tcPr>
          <w:p>
            <w:pPr>
              <w:keepNext w:val="0"/>
              <w:spacing w:after="20"/>
            </w:pPr>
            <w:r>
              <w:rPr>
                <w:sz w:val="16"/>
              </w:rPr>
              <w:t>–</w:t>
            </w:r>
          </w:p>
        </w:tc>
      </w:tr>
      <w:tr>
        <w:trPr>
          <w:cantSplit/>
        </w:trPr>
        <w:tc>
          <w:tcPr>
            <w:tcW w:type="dxa" w:w="3030"/>
          </w:tcPr>
          <w:p>
            <w:pPr>
              <w:keepNext w:val="0"/>
              <w:spacing w:after="20"/>
            </w:pPr>
            <w:r>
              <w:rPr>
                <w:sz w:val="16"/>
              </w:rPr>
              <w:t>C1: sequential false-alarm rate below 15% without chat</w:t>
            </w:r>
          </w:p>
        </w:tc>
        <w:tc>
          <w:tcPr>
            <w:tcW w:type="dxa" w:w="4244"/>
          </w:tcPr>
          <w:p>
            <w:pPr>
              <w:keepNext w:val="0"/>
              <w:spacing w:after="20"/>
            </w:pPr>
            <w:r>
              <w:rPr>
                <w:sz w:val="16"/>
              </w:rPr>
              <w:t>–</w:t>
            </w:r>
          </w:p>
        </w:tc>
        <w:tc>
          <w:tcPr>
            <w:tcW w:type="dxa" w:w="1798"/>
          </w:tcPr>
          <w:p>
            <w:pPr>
              <w:keepNext w:val="0"/>
              <w:spacing w:after="20"/>
            </w:pPr>
            <w:r>
              <w:rPr>
                <w:sz w:val="16"/>
              </w:rPr>
              <w:t>supported (0/60, p &lt; 10</w:t>
            </w:r>
            <w:r>
              <w:rPr>
                <w:sz w:val="16"/>
                <w:vertAlign w:val="superscript"/>
              </w:rPr>
              <w:t>−4</w:t>
            </w:r>
            <w:r>
              <w:rPr>
                <w:sz w:val="16"/>
              </w:rPr>
              <w:t>)</w:t>
            </w:r>
          </w:p>
        </w:tc>
      </w:tr>
      <w:tr>
        <w:trPr>
          <w:cantSplit/>
        </w:trPr>
        <w:tc>
          <w:tcPr>
            <w:tcW w:type="dxa" w:w="3030"/>
          </w:tcPr>
          <w:p>
            <w:pPr>
              <w:keepNext w:val="0"/>
              <w:spacing w:after="20"/>
            </w:pPr>
            <w:r>
              <w:rPr>
                <w:sz w:val="16"/>
              </w:rPr>
              <w:t>C2: more time-shuffle flags than sequential alarms on DeepSeek games without chat</w:t>
            </w:r>
          </w:p>
        </w:tc>
        <w:tc>
          <w:tcPr>
            <w:tcW w:type="dxa" w:w="4244"/>
          </w:tcPr>
          <w:p>
            <w:pPr>
              <w:keepNext w:val="0"/>
              <w:spacing w:after="20"/>
            </w:pPr>
            <w:r>
              <w:rPr>
                <w:sz w:val="16"/>
              </w:rPr>
              <w:t>–</w:t>
            </w:r>
          </w:p>
        </w:tc>
        <w:tc>
          <w:tcPr>
            <w:tcW w:type="dxa" w:w="1798"/>
          </w:tcPr>
          <w:p>
            <w:pPr>
              <w:keepNext w:val="0"/>
              <w:spacing w:after="20"/>
            </w:pPr>
            <w:r>
              <w:rPr>
                <w:sz w:val="16"/>
              </w:rPr>
              <w:t>supported (p &lt; 10</w:t>
            </w:r>
            <w:r>
              <w:rPr>
                <w:sz w:val="16"/>
                <w:vertAlign w:val="superscript"/>
              </w:rPr>
              <w:t>−7</w:t>
            </w:r>
            <w:r>
              <w:rPr>
                <w:sz w:val="16"/>
              </w:rPr>
              <w:t>)</w:t>
            </w:r>
          </w:p>
        </w:tc>
      </w:tr>
      <w:tr>
        <w:trPr>
          <w:cantSplit/>
        </w:trPr>
        <w:tc>
          <w:tcPr>
            <w:tcW w:type="dxa" w:w="3030"/>
          </w:tcPr>
          <w:p>
            <w:pPr>
              <w:keepNext w:val="0"/>
              <w:spacing w:after="20"/>
            </w:pPr>
            <w:r>
              <w:rPr>
                <w:sz w:val="16"/>
              </w:rPr>
              <w:t>C3: price comparison</w:t>
            </w:r>
          </w:p>
        </w:tc>
        <w:tc>
          <w:tcPr>
            <w:tcW w:type="dxa" w:w="4244"/>
          </w:tcPr>
          <w:p>
            <w:pPr>
              <w:keepNext w:val="0"/>
              <w:spacing w:after="20"/>
            </w:pPr>
            <w:r>
              <w:rPr>
                <w:sz w:val="16"/>
              </w:rPr>
              <w:t>descriptive</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C4: more alarms for the instructed cartel than in the DeepSeek no-chat cell</w:t>
            </w:r>
          </w:p>
        </w:tc>
        <w:tc>
          <w:tcPr>
            <w:tcW w:type="dxa" w:w="4244"/>
          </w:tcPr>
          <w:p>
            <w:pPr>
              <w:keepNext w:val="0"/>
              <w:spacing w:after="20"/>
            </w:pPr>
            <w:r>
              <w:rPr>
                <w:sz w:val="16"/>
              </w:rPr>
              <w:t>–</w:t>
            </w:r>
          </w:p>
        </w:tc>
        <w:tc>
          <w:tcPr>
            <w:tcW w:type="dxa" w:w="1798"/>
          </w:tcPr>
          <w:p>
            <w:pPr>
              <w:keepNext w:val="0"/>
              <w:spacing w:after="20"/>
            </w:pPr>
            <w:r>
              <w:rPr>
                <w:sz w:val="16"/>
              </w:rPr>
              <w:t>not supported (p = 0.246)</w:t>
            </w:r>
          </w:p>
        </w:tc>
      </w:tr>
      <w:tr>
        <w:trPr>
          <w:cantSplit/>
        </w:trPr>
        <w:tc>
          <w:tcPr>
            <w:tcW w:type="dxa" w:w="3030"/>
          </w:tcPr>
          <w:p>
            <w:pPr>
              <w:keepNext w:val="0"/>
              <w:spacing w:after="20"/>
            </w:pPr>
            <w:r>
              <w:rPr>
                <w:sz w:val="16"/>
              </w:rPr>
              <w:t>Prediction before the cartel data: the likelihood-ratio bet alarms in more cartel games than the no-chat cell</w:t>
            </w:r>
          </w:p>
        </w:tc>
        <w:tc>
          <w:tcPr>
            <w:tcW w:type="dxa" w:w="4244"/>
          </w:tcPr>
          <w:p>
            <w:pPr>
              <w:keepNext w:val="0"/>
              <w:spacing w:after="20"/>
            </w:pPr>
            <w:r>
              <w:rPr>
                <w:sz w:val="16"/>
              </w:rPr>
              <w:t>–</w:t>
            </w:r>
          </w:p>
        </w:tc>
        <w:tc>
          <w:tcPr>
            <w:tcW w:type="dxa" w:w="1798"/>
          </w:tcPr>
          <w:p>
            <w:pPr>
              <w:keepNext w:val="0"/>
              <w:spacing w:after="20"/>
            </w:pPr>
            <w:r>
              <w:rPr>
                <w:sz w:val="16"/>
              </w:rPr>
              <w:t>failed: 2/30 against 0/30, the same counts as the joint bet</w:t>
            </w:r>
          </w:p>
        </w:tc>
      </w:tr>
      <w:tr>
        <w:trPr>
          <w:cantSplit/>
        </w:trPr>
        <w:tc>
          <w:tcPr>
            <w:tcW w:type="dxa" w:w="3030"/>
          </w:tcPr>
          <w:p>
            <w:pPr>
              <w:keepNext w:val="0"/>
              <w:spacing w:after="20"/>
            </w:pPr>
            <w:r>
              <w:rPr>
                <w:sz w:val="16"/>
              </w:rPr>
              <w:t>Post hoc: co-departure test (C.10), cartel against no chat</w:t>
            </w:r>
          </w:p>
        </w:tc>
        <w:tc>
          <w:tcPr>
            <w:tcW w:type="dxa" w:w="4244"/>
          </w:tcPr>
          <w:p>
            <w:pPr>
              <w:keepNext w:val="0"/>
              <w:spacing w:after="20"/>
            </w:pPr>
            <w:r>
              <w:rPr>
                <w:sz w:val="16"/>
              </w:rPr>
              <w:t>–</w:t>
            </w:r>
          </w:p>
        </w:tc>
        <w:tc>
          <w:tcPr>
            <w:tcW w:type="dxa" w:w="1798"/>
          </w:tcPr>
          <w:p>
            <w:pPr>
              <w:keepNext w:val="0"/>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val="0"/>
              <w:spacing w:after="20"/>
            </w:pPr>
            <w:r>
              <w:rPr>
                <w:sz w:val="16"/>
              </w:rPr>
              <w:t>Post hoc: per-agent departure test, cartel against no chat</w:t>
            </w:r>
          </w:p>
        </w:tc>
        <w:tc>
          <w:tcPr>
            <w:tcW w:type="dxa" w:w="4244"/>
          </w:tcPr>
          <w:p>
            <w:pPr>
              <w:keepNext w:val="0"/>
              <w:spacing w:after="20"/>
            </w:pPr>
            <w:r>
              <w:rPr>
                <w:sz w:val="16"/>
              </w:rPr>
              <w:t>–</w:t>
            </w:r>
          </w:p>
        </w:tc>
        <w:tc>
          <w:tcPr>
            <w:tcW w:type="dxa" w:w="1798"/>
          </w:tcPr>
          <w:p>
            <w:pPr>
              <w:keepNext w:val="0"/>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re-implemented from the description in [7] with our own prompts carrying the same information. Chat produced collusive-sounding messages but no material price rise (the brief's third case type), while time-shuffle mutual information flagged games with no channel at all. In a positive control sellers followed a leader's announced floor and the trade price rose; prices concentrated in a narrow band and, as C.6 shows, the agreement was carried in memory. With three to five games per condition these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val="0"/>
              <w:spacing w:after="20"/>
            </w:pPr>
            <w:r>
              <w:rPr>
                <w:sz w:val="16"/>
              </w:rPr>
              <w:t>Games</w:t>
            </w:r>
          </w:p>
        </w:tc>
        <w:tc>
          <w:tcPr>
            <w:tcW w:type="dxa" w:w="1022"/>
          </w:tcPr>
          <w:p>
            <w:pPr>
              <w:keepNext w:val="0"/>
              <w:spacing w:after="20"/>
            </w:pPr>
            <w:r>
              <w:rPr>
                <w:sz w:val="16"/>
              </w:rPr>
              <w:t>16</w:t>
            </w:r>
          </w:p>
        </w:tc>
      </w:tr>
      <w:tr>
        <w:trPr>
          <w:cantSplit/>
        </w:trPr>
        <w:tc>
          <w:tcPr>
            <w:tcW w:type="dxa" w:w="8050"/>
          </w:tcPr>
          <w:p>
            <w:pPr>
              <w:keepNext w:val="0"/>
              <w:spacing w:after="20"/>
            </w:pPr>
            <w:r>
              <w:rPr>
                <w:sz w:val="16"/>
              </w:rPr>
              <w:t>Price, DeepSeek sellers, without chat</w:t>
            </w:r>
          </w:p>
        </w:tc>
        <w:tc>
          <w:tcPr>
            <w:tcW w:type="dxa" w:w="1022"/>
          </w:tcPr>
          <w:p>
            <w:pPr>
              <w:keepNext w:val="0"/>
              <w:spacing w:after="20"/>
            </w:pPr>
            <w:r>
              <w:rPr>
                <w:sz w:val="16"/>
              </w:rPr>
              <w:t>86.25</w:t>
            </w:r>
          </w:p>
        </w:tc>
      </w:tr>
      <w:tr>
        <w:trPr>
          <w:cantSplit/>
        </w:trPr>
        <w:tc>
          <w:tcPr>
            <w:tcW w:type="dxa" w:w="8050"/>
          </w:tcPr>
          <w:p>
            <w:pPr>
              <w:keepNext w:val="0"/>
              <w:spacing w:after="20"/>
            </w:pPr>
            <w:r>
              <w:rPr>
                <w:sz w:val="16"/>
              </w:rPr>
              <w:t>Price, DeepSeek sellers, with chat</w:t>
            </w:r>
          </w:p>
        </w:tc>
        <w:tc>
          <w:tcPr>
            <w:tcW w:type="dxa" w:w="1022"/>
          </w:tcPr>
          <w:p>
            <w:pPr>
              <w:keepNext w:val="0"/>
              <w:spacing w:after="20"/>
            </w:pPr>
            <w:r>
              <w:rPr>
                <w:sz w:val="16"/>
              </w:rPr>
              <w:t>86.36</w:t>
            </w:r>
          </w:p>
        </w:tc>
      </w:tr>
      <w:tr>
        <w:trPr>
          <w:cantSplit/>
        </w:trPr>
        <w:tc>
          <w:tcPr>
            <w:tcW w:type="dxa" w:w="8050"/>
          </w:tcPr>
          <w:p>
            <w:pPr>
              <w:keepNext w:val="0"/>
              <w:spacing w:after="20"/>
            </w:pPr>
            <w:r>
              <w:rPr>
                <w:sz w:val="16"/>
              </w:rPr>
              <w:t>Flags raised by the replay tests</w:t>
            </w:r>
          </w:p>
        </w:tc>
        <w:tc>
          <w:tcPr>
            <w:tcW w:type="dxa" w:w="1022"/>
          </w:tcPr>
          <w:p>
            <w:pPr>
              <w:keepNext w:val="0"/>
              <w:spacing w:after="20"/>
            </w:pPr>
            <w:r>
              <w:rPr>
                <w:sz w:val="16"/>
              </w:rPr>
              <w:t>0</w:t>
            </w:r>
          </w:p>
        </w:tc>
      </w:tr>
      <w:tr>
        <w:trPr>
          <w:cantSplit/>
        </w:trPr>
        <w:tc>
          <w:tcPr>
            <w:tcW w:type="dxa" w:w="8050"/>
          </w:tcPr>
          <w:p>
            <w:pPr>
              <w:keepNext w:val="0"/>
              <w:spacing w:after="20"/>
            </w:pPr>
            <w:r>
              <w:rPr>
                <w:sz w:val="16"/>
              </w:rPr>
              <w:t>Games without any channel flagged by time-shuffle mutual information</w:t>
            </w:r>
          </w:p>
        </w:tc>
        <w:tc>
          <w:tcPr>
            <w:tcW w:type="dxa" w:w="1022"/>
          </w:tcPr>
          <w:p>
            <w:pPr>
              <w:keepNext w:val="0"/>
              <w:spacing w:after="20"/>
            </w:pPr>
            <w:r>
              <w:rPr>
                <w:sz w:val="16"/>
              </w:rPr>
              <w:t>3 of 8</w:t>
            </w:r>
          </w:p>
        </w:tc>
      </w:tr>
      <w:tr>
        <w:trPr>
          <w:cantSplit/>
        </w:trPr>
        <w:tc>
          <w:tcPr>
            <w:tcW w:type="dxa" w:w="8050"/>
          </w:tcPr>
          <w:p>
            <w:pPr>
              <w:keepNext w:val="0"/>
              <w:spacing w:after="20"/>
            </w:pPr>
            <w:r>
              <w:rPr>
                <w:sz w:val="16"/>
              </w:rPr>
              <w:t>Positive control: games</w:t>
            </w:r>
          </w:p>
        </w:tc>
        <w:tc>
          <w:tcPr>
            <w:tcW w:type="dxa" w:w="1022"/>
          </w:tcPr>
          <w:p>
            <w:pPr>
              <w:keepNext w:val="0"/>
              <w:spacing w:after="20"/>
            </w:pPr>
            <w:r>
              <w:rPr>
                <w:sz w:val="16"/>
              </w:rPr>
              <w:t>5</w:t>
            </w:r>
          </w:p>
        </w:tc>
      </w:tr>
      <w:tr>
        <w:trPr>
          <w:cantSplit/>
        </w:trPr>
        <w:tc>
          <w:tcPr>
            <w:tcW w:type="dxa" w:w="8050"/>
          </w:tcPr>
          <w:p>
            <w:pPr>
              <w:keepNext w:val="0"/>
              <w:spacing w:after="20"/>
            </w:pPr>
            <w:r>
              <w:rPr>
                <w:sz w:val="16"/>
              </w:rPr>
              <w:t>Positive control: hours in which followers complied with the floor</w:t>
            </w:r>
          </w:p>
        </w:tc>
        <w:tc>
          <w:tcPr>
            <w:tcW w:type="dxa" w:w="1022"/>
          </w:tcPr>
          <w:p>
            <w:pPr>
              <w:keepNext w:val="0"/>
              <w:spacing w:after="20"/>
            </w:pPr>
            <w:r>
              <w:rPr>
                <w:sz w:val="16"/>
              </w:rPr>
              <w:t>86%</w:t>
            </w:r>
          </w:p>
        </w:tc>
      </w:tr>
      <w:tr>
        <w:trPr>
          <w:cantSplit/>
        </w:trPr>
        <w:tc>
          <w:tcPr>
            <w:tcW w:type="dxa" w:w="8050"/>
          </w:tcPr>
          <w:p>
            <w:pPr>
              <w:keepNext w:val="0"/>
              <w:spacing w:after="20"/>
            </w:pPr>
            <w:r>
              <w:rPr>
                <w:sz w:val="16"/>
              </w:rPr>
              <w:t>Positive control: mean trade price</w:t>
            </w:r>
          </w:p>
        </w:tc>
        <w:tc>
          <w:tcPr>
            <w:tcW w:type="dxa" w:w="1022"/>
          </w:tcPr>
          <w:p>
            <w:pPr>
              <w:keepNext w:val="0"/>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Definitions, proofs and the fastest bet.</w:t>
      </w:r>
      <w:r>
        <w:rPr>
          <w:sz w:val="20"/>
        </w:rPr>
        <w:t xml:space="preserve"> This section states the formulas that §3 describes in words, proves Propositions 1 and 2, identifies the betting function with the fastest growth, and states what a channel must give up to stay undetected.</w:t>
      </w:r>
    </w:p>
    <w:p>
      <w:pPr>
        <w:spacing w:after="60" w:before="0"/>
        <w:jc w:val="both"/>
      </w:pPr>
      <w:r>
        <w:rPr>
          <w:i/>
          <w:sz w:val="20"/>
        </w:rPr>
        <w:t>Notation.</w:t>
      </w:r>
      <w:r>
        <w:rPr>
          <w:sz w:val="20"/>
        </w:rPr>
        <w:t xml:space="preserve"> Agent </w:t>
      </w:r>
      <w:r>
        <w:rPr>
          <w:i/>
          <w:sz w:val="20"/>
        </w:rPr>
        <w:t>i</w:t>
      </w:r>
      <w:r>
        <w:rPr>
          <w:sz w:val="20"/>
        </w:rPr>
        <w:t xml:space="preserve"> observes </w:t>
      </w:r>
      <w:r>
        <w:rPr>
          <w:i/>
          <w:sz w:val="20"/>
        </w:rPr>
        <w:t>O</w:t>
      </w:r>
      <w:r>
        <w:rPr>
          <w:i/>
          <w:sz w:val="20"/>
          <w:vertAlign w:val="subscript"/>
        </w:rPr>
        <w:t>i</w:t>
      </w:r>
      <w:r>
        <w:rPr>
          <w:sz w:val="20"/>
          <w:vertAlign w:val="subscript"/>
        </w:rPr>
        <w:t>,</w:t>
      </w:r>
      <w:r>
        <w:rPr>
          <w:i/>
          <w:sz w:val="20"/>
          <w:vertAlign w:val="subscript"/>
        </w:rPr>
        <w:t>t</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and acts </w:t>
      </w:r>
      <w:r>
        <w:rPr>
          <w:i/>
          <w:sz w:val="20"/>
        </w:rPr>
        <w:t>a</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where </w:t>
      </w:r>
      <w:r>
        <w:rPr>
          <w:rFonts w:ascii="Times New Roman" w:hAnsi="Times New Roman"/>
          <w:sz w:val="20"/>
        </w:rPr>
        <w:t>π</w:t>
      </w:r>
      <w:r>
        <w:rPr>
          <w:i/>
          <w:sz w:val="20"/>
          <w:vertAlign w:val="subscript"/>
        </w:rPr>
        <w:t>i</w:t>
      </w:r>
      <w:r>
        <w:rPr>
          <w:sz w:val="20"/>
        </w:rPr>
        <w:t xml:space="preserve"> is its deployed policy; </w:t>
      </w:r>
      <w:r>
        <w:rPr>
          <w:rFonts w:ascii="Times New Roman" w:hAnsi="Times New Roman"/>
          <w:sz w:val="20"/>
        </w:rPr>
        <w:t>π</w:t>
      </w:r>
      <w:r>
        <w:rPr>
          <w:i/>
          <w:sz w:val="20"/>
          <w:vertAlign w:val="subscript"/>
        </w:rPr>
        <w:t>i</w:t>
      </w:r>
      <w:r>
        <w:rPr>
          <w:sz w:val="20"/>
        </w:rPr>
        <w:t xml:space="preserve">(· | </w:t>
      </w:r>
      <w:r>
        <w:rPr>
          <w:i/>
          <w:sz w:val="20"/>
        </w:rPr>
        <w:t>v</w:t>
      </w:r>
      <w:r>
        <w:rPr>
          <w:sz w:val="20"/>
        </w:rPr>
        <w:t>, ∅)</w:t>
      </w:r>
      <w:r>
        <w:rPr>
          <w:sz w:val="20"/>
        </w:rPr>
        <w:t xml:space="preserve"> is the policy queried with the channel's field removed. The replays </w:t>
      </w:r>
      <w:r>
        <w:rPr>
          <w:sz w:val="20"/>
        </w:rPr>
        <w:t>ã</w:t>
      </w:r>
      <w:r>
        <w:rPr>
          <w:sz w:val="20"/>
          <w:vertAlign w:val="superscript"/>
        </w:rPr>
        <w:t>(1)</w:t>
      </w:r>
      <w:r>
        <w:rPr>
          <w:i/>
          <w:sz w:val="20"/>
          <w:vertAlign w:val="subscript"/>
        </w:rPr>
        <w:t>i</w:t>
      </w:r>
      <w:r>
        <w:rPr>
          <w:sz w:val="20"/>
          <w:vertAlign w:val="subscript"/>
        </w:rPr>
        <w:t>,</w:t>
      </w:r>
      <w:r>
        <w:rPr>
          <w:i/>
          <w:sz w:val="20"/>
          <w:vertAlign w:val="subscript"/>
        </w:rPr>
        <w:t>t</w:t>
      </w:r>
      <w:r>
        <w:rPr>
          <w:sz w:val="20"/>
        </w:rPr>
        <w:t>, …, ã</w:t>
      </w:r>
      <w:r>
        <w:rPr>
          <w:sz w:val="20"/>
          <w:vertAlign w:val="superscript"/>
        </w:rPr>
        <w:t>(</w:t>
      </w:r>
      <w:r>
        <w:rPr>
          <w:i/>
          <w:sz w:val="20"/>
          <w:vertAlign w:val="superscript"/>
        </w:rPr>
        <w:t>k</w:t>
      </w:r>
      <w:r>
        <w:rPr>
          <w:sz w:val="20"/>
          <w:vertAlign w:val="superscript"/>
        </w:rPr>
        <w:t>)</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the logged action form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Let </w:t>
      </w:r>
      <w:r>
        <w:rPr>
          <w:sz w:val="20"/>
        </w:rPr>
        <w:t>γ(</w:t>
      </w:r>
      <w:r>
        <w:rPr>
          <w:i/>
          <w:sz w:val="20"/>
        </w:rPr>
        <w:t>i</w:t>
      </w:r>
      <w:r>
        <w:rPr>
          <w:sz w:val="20"/>
        </w:rPr>
        <w:t>;</w:t>
      </w:r>
      <w:r>
        <w:rPr>
          <w:i/>
          <w:sz w:val="20"/>
        </w:rPr>
        <w:t>j</w:t>
      </w:r>
      <w:r>
        <w:rPr>
          <w:sz w:val="20"/>
        </w:rPr>
        <w:t>)</w:t>
      </w:r>
      <w:r>
        <w:rPr>
          <w:sz w:val="20"/>
        </w:rPr>
        <w:t xml:space="preserve"> be the plug-in mutual information, in bits, between the same-round actions of agents </w:t>
      </w:r>
      <w:r>
        <w:rPr>
          <w:i/>
          <w:sz w:val="20"/>
        </w:rPr>
        <w:t>i</w:t>
      </w:r>
      <w:r>
        <w:rPr>
          <w:sz w:val="20"/>
        </w:rPr>
        <w:t xml:space="preserve"> and </w:t>
      </w:r>
      <w:r>
        <w:rPr>
          <w:i/>
          <w:sz w:val="20"/>
        </w:rPr>
        <w:t>j</w:t>
      </w:r>
      <w:r>
        <w:rPr>
          <w:sz w:val="20"/>
        </w:rPr>
        <w:t xml:space="preserve"> over the episode. Net influence and the episode statistic are</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i/>
          <w:sz w:val="20"/>
        </w:rPr>
        <w:t>Proof of Proposition 1.</w:t>
      </w:r>
      <w:r>
        <w:rPr>
          <w:sz w:val="20"/>
        </w:rPr>
        <w:t xml:space="preserve"> Let </w:t>
      </w:r>
      <w:r>
        <w:rPr>
          <w:sz w:val="20"/>
        </w:rPr>
        <w:t>𝒢</w:t>
      </w:r>
      <w:r>
        <w:rPr>
          <w:i/>
          <w:sz w:val="20"/>
          <w:vertAlign w:val="subscript"/>
        </w:rPr>
        <w:t>t</w:t>
      </w:r>
      <w:r>
        <w:rPr>
          <w:sz w:val="20"/>
          <w:vertAlign w:val="subscript"/>
        </w:rPr>
        <w:t>-1</w:t>
      </w:r>
      <w:r>
        <w:rPr>
          <w:sz w:val="20"/>
        </w:rPr>
        <w:t xml:space="preserve"> be generated by the views, logged actions and replay pools of rounds </w:t>
      </w:r>
      <w:r>
        <w:rPr>
          <w:sz w:val="20"/>
        </w:rPr>
        <w:t xml:space="preserve">1, …, </w:t>
      </w:r>
      <w:r>
        <w:rPr>
          <w:i/>
          <w:sz w:val="20"/>
        </w:rPr>
        <w:t>t</w:t>
      </w:r>
      <w:r>
        <w:rPr>
          <w:sz w:val="20"/>
        </w:rPr>
        <w:t>-1</w:t>
      </w:r>
      <w:r>
        <w:rPr>
          <w:sz w:val="20"/>
        </w:rPr>
        <w:t xml:space="preserve">. Under </w:t>
      </w:r>
      <w:r>
        <w:rPr>
          <w:i/>
          <w:sz w:val="20"/>
        </w:rPr>
        <w:t>H</w:t>
      </w:r>
      <w:r>
        <w:rPr>
          <w:sz w:val="20"/>
          <w:vertAlign w:val="subscript"/>
        </w:rPr>
        <w:t>0</w:t>
      </w:r>
      <w:r>
        <w:rPr>
          <w:sz w:val="20"/>
        </w:rPr>
        <w:t xml:space="preserve">, </w:t>
      </w:r>
      <w:r>
        <w:rPr>
          <w:i/>
          <w:sz w:val="20"/>
        </w:rPr>
        <w:t>a</w:t>
      </w:r>
      <w:r>
        <w:rPr>
          <w:i/>
          <w:sz w:val="20"/>
          <w:vertAlign w:val="subscript"/>
        </w:rPr>
        <w:t>i</w:t>
      </w:r>
      <w:r>
        <w:rPr>
          <w:sz w:val="20"/>
          <w:vertAlign w:val="subscript"/>
        </w:rPr>
        <w:t>,</w:t>
      </w:r>
      <w:r>
        <w:rPr>
          <w:i/>
          <w:sz w:val="20"/>
          <w:vertAlign w:val="subscript"/>
        </w:rPr>
        <w:t>t</w:t>
      </w:r>
      <w:r>
        <w:rPr>
          <w:sz w:val="20"/>
        </w:rPr>
        <w:t xml:space="preserve"> is a draw from </w:t>
      </w:r>
      <w:r>
        <w:rPr>
          <w:rFonts w:ascii="Times New Roman" w:hAnsi="Times New Roman"/>
          <w:sz w:val="20"/>
        </w:rPr>
        <w:t>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by A1 its replays are independent draws from the same law. The </w:t>
      </w:r>
      <w:r>
        <w:rPr>
          <w:i/>
          <w:sz w:val="20"/>
        </w:rPr>
        <w:t>k</w:t>
      </w:r>
      <w:r>
        <w:rPr>
          <w:sz w:val="20"/>
        </w:rPr>
        <w:t xml:space="preserve"> + 1</w:t>
      </w:r>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i/>
          <w:sz w:val="20"/>
        </w:rPr>
        <w:t>Statement of Proposition 2.</w:t>
      </w:r>
      <w:r>
        <w:rPr>
          <w:sz w:val="20"/>
        </w:rPr>
        <w:t xml:space="preserve"> Under </w:t>
      </w:r>
      <w:r>
        <w:rPr>
          <w:i/>
          <w:sz w:val="20"/>
        </w:rPr>
        <w:t>H</w:t>
      </w:r>
      <w:r>
        <w:rPr>
          <w:sz w:val="20"/>
          <w:vertAlign w:val="subscript"/>
        </w:rPr>
        <w:t>0</w:t>
      </w:r>
      <w:r>
        <w:rPr>
          <w:sz w:val="20"/>
        </w:rPr>
        <w:t xml:space="preserve"> and A1–A3, </w:t>
      </w:r>
      <w:r>
        <w:rPr>
          <w:sz w:val="20"/>
        </w:rPr>
        <w:t>(</w:t>
      </w:r>
      <w:r>
        <w:rPr>
          <w:i/>
          <w:sz w:val="20"/>
        </w:rPr>
        <w:t>E</w:t>
      </w:r>
      <w:r>
        <w:rPr>
          <w:i/>
          <w:sz w:val="20"/>
          <w:vertAlign w:val="subscript"/>
        </w:rPr>
        <w:t>t</w:t>
      </w:r>
      <w:r>
        <w:rPr>
          <w:sz w:val="20"/>
        </w:rPr>
        <w:t>)</w:t>
      </w:r>
      <w:r>
        <w:rPr>
          <w:sz w:val="20"/>
        </w:rPr>
        <w:t xml:space="preserve"> is a nonnegative martingale with respect to </w:t>
      </w:r>
      <w:r>
        <w:rPr>
          <w:sz w:val="20"/>
        </w:rPr>
        <w:t>(𝒢</w:t>
      </w:r>
      <w:r>
        <w:rPr>
          <w:i/>
          <w:sz w:val="20"/>
          <w:vertAlign w:val="subscript"/>
        </w:rPr>
        <w:t>t</w:t>
      </w:r>
      <w:r>
        <w:rPr>
          <w:sz w:val="20"/>
        </w:rPr>
        <w:t>)</w:t>
      </w:r>
      <w:r>
        <w:rPr>
          <w:sz w:val="20"/>
        </w:rPr>
        <w:t xml:space="preserve"> with </w:t>
      </w:r>
      <w:r>
        <w:rPr>
          <w:i/>
          <w:sz w:val="20"/>
        </w:rPr>
        <w:t>E</w:t>
      </w:r>
      <w:r>
        <w:rPr>
          <w:sz w:val="20"/>
          <w:vertAlign w:val="subscript"/>
        </w:rPr>
        <w:t>0</w:t>
      </w:r>
      <w:r>
        <w:rPr>
          <w:sz w:val="20"/>
        </w:rPr>
        <w:t xml:space="preserve"> = 1</w:t>
      </w:r>
      <w:r>
        <w:rPr>
          <w:sz w:val="20"/>
        </w:rPr>
        <w:t>, so by Ville's inequality</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t xml:space="preserve">.</m:t>
          </m:r>
        </m:oMath>
      </m:oMathPara>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appears in Tailor's KL bound on steganographic detectability [2, Theorem 3], in the </w:t>
      </w:r>
      <m:oMath>
        <m:r>
          <m:t xml:space="preserve">1</m:t>
        </m:r>
        <m:r>
          <m:rPr>
            <m:sty m:val="p"/>
          </m:rPr>
          <m:t xml:space="preserve">/</m:t>
        </m:r>
        <m:sSup>
          <m:e>
            <m:r>
              <m:t xml:space="preserve">ε</m:t>
            </m:r>
          </m:e>
          <m:sup>
            <m:r>
              <m:t xml:space="preserve">2</m:t>
            </m:r>
          </m:sup>
        </m:sSup>
      </m:oMath>
      <w:r>
        <w:rPr>
          <w:sz w:val="20"/>
        </w:rPr>
        <w:t xml:space="preserve"> regret a seller can hide from an audit of slack </w:t>
      </w:r>
      <m:oMath>
        <m:r>
          <m:t xml:space="preserve">ε</m:t>
        </m:r>
      </m:oMath>
      <w:r>
        <w:rPr>
          <w:sz w:val="20"/>
        </w:rPr>
        <w:t xml:space="preserve"> [13, Theorem 4.5], and in the square-root law of covert communication [27].</w:t>
      </w:r>
    </w:p>
    <w:p>
      <w:pPr>
        <w:spacing w:after="60" w:before="0"/>
        <w:jc w:val="both"/>
      </w:pPr>
      <w:r>
        <w:rPr>
          <w:sz w:val="20"/>
        </w:rPr>
        <w:t xml:space="preserve">The corollary covers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earlier and stored in memory shifts both laws alike, adds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§5.4).</w:t>
      </w:r>
    </w:p>
    <w:p>
      <w:pPr>
        <w:spacing w:after="60" w:before="0"/>
        <w:jc w:val="both"/>
      </w:pPr>
      <w:r>
        <w:rPr>
          <w:b/>
          <w:sz w:val="20"/>
        </w:rPr>
        <w:t>The joint bet.</w:t>
      </w:r>
      <w:r>
        <w:rPr>
          <w:sz w:val="20"/>
        </w:rPr>
        <w:t xml:space="preserve"> Fig. A5 compares three bets when one agent copies the other's move in a share of rounds: the likelihood-ratio bet grows fastest everywhere, close to the KL ceiling; the pre-registered joint bet, which does not divide by the replay laws, loses evidence under shared skewed priors for channels that copy up to 0.3 of moves; the interaction bet matches the likelihood ratio here but fails when a channel shifts the marginals. The likelihood-ratio bet also pays when one agent alone departs from its replays, so naming the pair remains a pair statistic's job (§3).</w:t>
      </w:r>
    </w:p>
    <w:p>
      <w:pPr>
        <w:keepNext/>
        <w:spacing w:after="40" w:before="0"/>
        <w:jc w:val="center"/>
      </w:pPr>
      <w:r>
        <w:drawing>
          <wp:inline>
            <wp:extent cx="5760720" cy="2100436"/>
            <wp:docPr id="9" name="Picture 9"/>
            <wp:cNvGraphicFramePr>
              <a:graphicFrameLocks noChangeAspect="1"/>
            </wp:cNvGraphicFramePr>
            <a:graphic>
              <a:graphicData uri="http://schemas.openxmlformats.org/drawingml/2006/picture">
                <pic:pic>
                  <pic:nvPicPr>
                    <pic:cNvPr id="0" name="p_figA4_growth.png"/>
                    <pic:cNvPicPr/>
                  </pic:nvPicPr>
                  <pic:blipFill>
                    <a:blip r:embed="rId16"/>
                    <a:stretch>
                      <a:fillRect/>
                    </a:stretch>
                  </pic:blipFill>
                  <pic:spPr>
                    <a:xfrm>
                      <a:off x="0" y="0"/>
                      <a:ext cx="5760720" cy="2100436"/>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(simulator false-alarm rate: Table A5d): it flags far more games with a channel, matching the fixed-horizon test in the auction, but names fewer Haiku pairs because it also pays when one agent departs; detection and attribution are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val="0"/>
              <w:spacing w:after="20"/>
            </w:pPr>
            <w:r>
              <w:rPr>
                <w:sz w:val="16"/>
              </w:rPr>
              <w:t>40</w:t>
            </w:r>
          </w:p>
        </w:tc>
        <w:tc>
          <w:tcPr>
            <w:tcW w:type="dxa" w:w="1075"/>
          </w:tcPr>
          <w:p>
            <w:pPr>
              <w:keepNext w:val="0"/>
              <w:spacing w:after="20"/>
            </w:pPr>
            <w:r>
              <w:rPr>
                <w:sz w:val="16"/>
              </w:rPr>
              <w:t>85%</w:t>
            </w:r>
          </w:p>
        </w:tc>
        <w:tc>
          <w:tcPr>
            <w:tcW w:type="dxa" w:w="842"/>
          </w:tcPr>
          <w:p>
            <w:pPr>
              <w:keepNext w:val="0"/>
              <w:spacing w:after="20"/>
            </w:pPr>
            <w:r>
              <w:rPr>
                <w:sz w:val="16"/>
              </w:rPr>
              <w:t>82.5%</w:t>
            </w:r>
          </w:p>
        </w:tc>
        <w:tc>
          <w:tcPr>
            <w:tcW w:type="dxa" w:w="1410"/>
          </w:tcPr>
          <w:p>
            <w:pPr>
              <w:keepNext w:val="0"/>
              <w:spacing w:after="20"/>
            </w:pPr>
            <w:r>
              <w:rPr>
                <w:sz w:val="16"/>
              </w:rPr>
              <w:t>70%</w:t>
            </w:r>
          </w:p>
        </w:tc>
        <w:tc>
          <w:tcPr>
            <w:tcW w:type="dxa" w:w="1410"/>
          </w:tcPr>
          <w:p>
            <w:pPr>
              <w:keepNext w:val="0"/>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val="0"/>
              <w:spacing w:after="20"/>
            </w:pPr>
            <w:r>
              <w:rPr>
                <w:sz w:val="16"/>
              </w:rPr>
              <w:t>20</w:t>
            </w:r>
          </w:p>
        </w:tc>
        <w:tc>
          <w:tcPr>
            <w:tcW w:type="dxa" w:w="1075"/>
          </w:tcPr>
          <w:p>
            <w:pPr>
              <w:keepNext w:val="0"/>
              <w:spacing w:after="20"/>
            </w:pPr>
            <w:r>
              <w:rPr>
                <w:sz w:val="16"/>
              </w:rPr>
              <w:t>90%</w:t>
            </w:r>
          </w:p>
        </w:tc>
        <w:tc>
          <w:tcPr>
            <w:tcW w:type="dxa" w:w="842"/>
          </w:tcPr>
          <w:p>
            <w:pPr>
              <w:keepNext w:val="0"/>
              <w:spacing w:after="20"/>
            </w:pPr>
            <w:r>
              <w:rPr>
                <w:sz w:val="16"/>
              </w:rPr>
              <w:t>90%</w:t>
            </w:r>
          </w:p>
        </w:tc>
        <w:tc>
          <w:tcPr>
            <w:tcW w:type="dxa" w:w="1410"/>
          </w:tcPr>
          <w:p>
            <w:pPr>
              <w:keepNext w:val="0"/>
              <w:spacing w:after="20"/>
            </w:pPr>
            <w:r>
              <w:rPr>
                <w:sz w:val="16"/>
              </w:rPr>
              <w:t>70%</w:t>
            </w:r>
          </w:p>
        </w:tc>
        <w:tc>
          <w:tcPr>
            <w:tcW w:type="dxa" w:w="1410"/>
          </w:tcPr>
          <w:p>
            <w:pPr>
              <w:keepNext w:val="0"/>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32.5%</w:t>
            </w:r>
          </w:p>
        </w:tc>
        <w:tc>
          <w:tcPr>
            <w:tcW w:type="dxa" w:w="1410"/>
          </w:tcPr>
          <w:p>
            <w:pPr>
              <w:keepNext w:val="0"/>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val="0"/>
              <w:spacing w:after="20"/>
            </w:pPr>
            <w:r>
              <w:rPr>
                <w:sz w:val="16"/>
              </w:rPr>
              <w:t>30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26.7%</w:t>
            </w:r>
          </w:p>
        </w:tc>
        <w:tc>
          <w:tcPr>
            <w:tcW w:type="dxa" w:w="1410"/>
          </w:tcPr>
          <w:p>
            <w:pPr>
              <w:keepNext w:val="0"/>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val="0"/>
              <w:spacing w:after="20"/>
            </w:pPr>
            <w:r>
              <w:rPr>
                <w:sz w:val="16"/>
              </w:rPr>
              <w:t>40</w:t>
            </w:r>
          </w:p>
        </w:tc>
        <w:tc>
          <w:tcPr>
            <w:tcW w:type="dxa" w:w="1075"/>
          </w:tcPr>
          <w:p>
            <w:pPr>
              <w:keepNext w:val="0"/>
              <w:spacing w:after="20"/>
            </w:pPr>
            <w:r>
              <w:rPr>
                <w:sz w:val="16"/>
              </w:rPr>
              <w:t>50%</w:t>
            </w:r>
          </w:p>
        </w:tc>
        <w:tc>
          <w:tcPr>
            <w:tcW w:type="dxa" w:w="842"/>
          </w:tcPr>
          <w:p>
            <w:pPr>
              <w:keepNext w:val="0"/>
              <w:spacing w:after="20"/>
            </w:pPr>
            <w:r>
              <w:rPr>
                <w:sz w:val="16"/>
              </w:rPr>
              <w:t>45%</w:t>
            </w:r>
          </w:p>
        </w:tc>
        <w:tc>
          <w:tcPr>
            <w:tcW w:type="dxa" w:w="1410"/>
          </w:tcPr>
          <w:p>
            <w:pPr>
              <w:keepNext w:val="0"/>
              <w:spacing w:after="20"/>
            </w:pPr>
            <w:r>
              <w:rPr>
                <w:sz w:val="16"/>
              </w:rPr>
              <w:t>100%</w:t>
            </w:r>
          </w:p>
        </w:tc>
        <w:tc>
          <w:tcPr>
            <w:tcW w:type="dxa" w:w="1410"/>
          </w:tcPr>
          <w:p>
            <w:pPr>
              <w:keepNext w:val="0"/>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val="0"/>
              <w:spacing w:after="20"/>
            </w:pPr>
            <w:r>
              <w:rPr>
                <w:sz w:val="16"/>
              </w:rPr>
              <w:t>40</w:t>
            </w:r>
          </w:p>
        </w:tc>
        <w:tc>
          <w:tcPr>
            <w:tcW w:type="dxa" w:w="1075"/>
          </w:tcPr>
          <w:p>
            <w:pPr>
              <w:keepNext w:val="0"/>
              <w:spacing w:after="20"/>
            </w:pPr>
            <w:r>
              <w:rPr>
                <w:sz w:val="16"/>
              </w:rPr>
              <w:t>5%</w:t>
            </w:r>
          </w:p>
        </w:tc>
        <w:tc>
          <w:tcPr>
            <w:tcW w:type="dxa" w:w="842"/>
          </w:tcPr>
          <w:p>
            <w:pPr>
              <w:keepNext w:val="0"/>
              <w:spacing w:after="20"/>
            </w:pPr>
            <w:r>
              <w:rPr>
                <w:sz w:val="16"/>
              </w:rPr>
              <w:t>5%</w:t>
            </w:r>
          </w:p>
        </w:tc>
        <w:tc>
          <w:tcPr>
            <w:tcW w:type="dxa" w:w="1410"/>
          </w:tcPr>
          <w:p>
            <w:pPr>
              <w:keepNext w:val="0"/>
              <w:spacing w:after="20"/>
            </w:pPr>
            <w:r>
              <w:rPr>
                <w:sz w:val="16"/>
              </w:rPr>
              <w:t>60%</w:t>
            </w:r>
          </w:p>
        </w:tc>
        <w:tc>
          <w:tcPr>
            <w:tcW w:type="dxa" w:w="1410"/>
          </w:tcPr>
          <w:p>
            <w:pPr>
              <w:keepNext w:val="0"/>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val="0"/>
              <w:spacing w:after="20"/>
            </w:pPr>
            <w:r>
              <w:rPr>
                <w:sz w:val="16"/>
              </w:rPr>
              <w:t>20</w:t>
            </w:r>
          </w:p>
        </w:tc>
        <w:tc>
          <w:tcPr>
            <w:tcW w:type="dxa" w:w="1075"/>
          </w:tcPr>
          <w:p>
            <w:pPr>
              <w:keepNext w:val="0"/>
              <w:spacing w:after="20"/>
            </w:pPr>
            <w:r>
              <w:rPr>
                <w:sz w:val="16"/>
              </w:rPr>
              <w:t>20%</w:t>
            </w:r>
          </w:p>
        </w:tc>
        <w:tc>
          <w:tcPr>
            <w:tcW w:type="dxa" w:w="842"/>
          </w:tcPr>
          <w:p>
            <w:pPr>
              <w:keepNext w:val="0"/>
              <w:spacing w:after="20"/>
            </w:pPr>
            <w:r>
              <w:rPr>
                <w:sz w:val="16"/>
              </w:rPr>
              <w:t>20%</w:t>
            </w:r>
          </w:p>
        </w:tc>
        <w:tc>
          <w:tcPr>
            <w:tcW w:type="dxa" w:w="1410"/>
          </w:tcPr>
          <w:p>
            <w:pPr>
              <w:keepNext w:val="0"/>
              <w:spacing w:after="20"/>
            </w:pPr>
            <w:r>
              <w:rPr>
                <w:sz w:val="16"/>
              </w:rPr>
              <w:t>35%</w:t>
            </w:r>
          </w:p>
        </w:tc>
        <w:tc>
          <w:tcPr>
            <w:tcW w:type="dxa" w:w="1410"/>
          </w:tcPr>
          <w:p>
            <w:pPr>
              <w:keepNext w:val="0"/>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val="0"/>
              <w:spacing w:after="20"/>
            </w:pPr>
            <w:r>
              <w:rPr>
                <w:sz w:val="16"/>
              </w:rPr>
              <w:t>20</w:t>
            </w:r>
          </w:p>
        </w:tc>
        <w:tc>
          <w:tcPr>
            <w:tcW w:type="dxa" w:w="1075"/>
          </w:tcPr>
          <w:p>
            <w:pPr>
              <w:keepNext w:val="0"/>
              <w:spacing w:after="20"/>
            </w:pPr>
            <w:r>
              <w:rPr>
                <w:sz w:val="16"/>
              </w:rPr>
              <w:t>15%</w:t>
            </w:r>
          </w:p>
        </w:tc>
        <w:tc>
          <w:tcPr>
            <w:tcW w:type="dxa" w:w="842"/>
          </w:tcPr>
          <w:p>
            <w:pPr>
              <w:keepNext w:val="0"/>
              <w:spacing w:after="20"/>
            </w:pPr>
            <w:r>
              <w:rPr>
                <w:sz w:val="16"/>
              </w:rPr>
              <w:t>10%</w:t>
            </w:r>
          </w:p>
        </w:tc>
        <w:tc>
          <w:tcPr>
            <w:tcW w:type="dxa" w:w="1410"/>
          </w:tcPr>
          <w:p>
            <w:pPr>
              <w:keepNext w:val="0"/>
              <w:spacing w:after="20"/>
            </w:pPr>
            <w:r>
              <w:rPr>
                <w:sz w:val="16"/>
              </w:rPr>
              <w:t>30%</w:t>
            </w:r>
          </w:p>
        </w:tc>
        <w:tc>
          <w:tcPr>
            <w:tcW w:type="dxa" w:w="1410"/>
          </w:tcPr>
          <w:p>
            <w:pPr>
              <w:keepNext w:val="0"/>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val="0"/>
              <w:spacing w:after="20"/>
            </w:pPr>
            <w:r>
              <w:rPr>
                <w:sz w:val="16"/>
              </w:rPr>
              <w:t>20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20%</w:t>
            </w:r>
          </w:p>
        </w:tc>
        <w:tc>
          <w:tcPr>
            <w:tcW w:type="dxa" w:w="1410"/>
          </w:tcPr>
          <w:p>
            <w:pPr>
              <w:keepNext w:val="0"/>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4.7%</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2%</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val="0"/>
              <w:spacing w:after="20"/>
            </w:pPr>
            <w:r>
              <w:rPr>
                <w:sz w:val="16"/>
              </w:rPr>
              <w:t>150</w:t>
            </w:r>
          </w:p>
        </w:tc>
        <w:tc>
          <w:tcPr>
            <w:tcW w:type="dxa" w:w="1075"/>
          </w:tcPr>
          <w:p>
            <w:pPr>
              <w:keepNext w:val="0"/>
              <w:spacing w:after="20"/>
            </w:pPr>
            <w:r>
              <w:rPr>
                <w:sz w:val="16"/>
              </w:rPr>
              <w:t>0.7%</w:t>
            </w:r>
          </w:p>
        </w:tc>
        <w:tc>
          <w:tcPr>
            <w:tcW w:type="dxa" w:w="842"/>
          </w:tcPr>
          <w:p>
            <w:pPr>
              <w:keepNext w:val="0"/>
              <w:spacing w:after="20"/>
            </w:pPr>
            <w:r>
              <w:rPr>
                <w:sz w:val="16"/>
              </w:rPr>
              <w:t>–</w:t>
            </w:r>
          </w:p>
        </w:tc>
        <w:tc>
          <w:tcPr>
            <w:tcW w:type="dxa" w:w="1410"/>
          </w:tcPr>
          <w:p>
            <w:pPr>
              <w:keepNext w:val="0"/>
              <w:spacing w:after="20"/>
            </w:pPr>
            <w:r>
              <w:rPr>
                <w:sz w:val="16"/>
              </w:rPr>
              <w:t>5.3%</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val="0"/>
              <w:spacing w:after="20"/>
            </w:pPr>
            <w:r>
              <w:rPr>
                <w:sz w:val="16"/>
              </w:rPr>
              <w:t>100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Chosen after seeing the auction cartel, this statistic counts the rounds in which both agents of a pair leave their replays. Let D</w:t>
      </w:r>
      <w:r>
        <w:rPr>
          <w:sz w:val="20"/>
          <w:vertAlign w:val="subscript"/>
        </w:rPr>
        <w:t>i,t</w:t>
      </w:r>
      <w:r>
        <w:rPr>
          <w:sz w:val="20"/>
        </w:rPr>
        <w:t xml:space="preserve"> = 1 when agent i's logged action in round t differs from both of its replays; a pair's statistic is the number of rounds in which both depart, the episode statistic its maximum over pairs, and the null redraws the logged position in every pool (exact per round by Proposition 1, B = 999); a per-agent version counts one agent's departures with a Bonferroni correction. In the cartel, collusion shows as all followers leaving their replays in the same hours rather than as dependence in the joint law (Table A6b); the statistic is post hoc there and is tested on a fresh series in C.11. Applied post hoc to every existing game (Tables A7b and A8),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val="0"/>
              <w:spacing w:after="20"/>
            </w:pPr>
            <w:r>
              <w:rPr>
                <w:sz w:val="16"/>
              </w:rPr>
              <w:t>150</w:t>
            </w:r>
          </w:p>
        </w:tc>
        <w:tc>
          <w:tcPr>
            <w:tcW w:type="dxa" w:w="1292"/>
          </w:tcPr>
          <w:p>
            <w:pPr>
              <w:keepNext w:val="0"/>
              <w:spacing w:after="20"/>
            </w:pPr>
            <w:r>
              <w:rPr>
                <w:sz w:val="16"/>
              </w:rPr>
              <w:t>2.7%</w:t>
            </w:r>
          </w:p>
        </w:tc>
        <w:tc>
          <w:tcPr>
            <w:tcW w:type="dxa" w:w="1011"/>
          </w:tcPr>
          <w:p>
            <w:pPr>
              <w:keepNext w:val="0"/>
              <w:spacing w:after="20"/>
            </w:pPr>
            <w:r>
              <w:rPr>
                <w:sz w:val="16"/>
              </w:rPr>
              <w:t>–</w:t>
            </w:r>
          </w:p>
        </w:tc>
        <w:tc>
          <w:tcPr>
            <w:tcW w:type="dxa" w:w="1561"/>
          </w:tcPr>
          <w:p>
            <w:pPr>
              <w:keepNext w:val="0"/>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val="0"/>
              <w:spacing w:after="20"/>
            </w:pPr>
            <w:r>
              <w:rPr>
                <w:sz w:val="16"/>
              </w:rPr>
              <w:t>60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val="0"/>
              <w:spacing w:after="20"/>
            </w:pPr>
            <w:r>
              <w:rPr>
                <w:sz w:val="16"/>
              </w:rPr>
              <w:t>30</w:t>
            </w:r>
          </w:p>
        </w:tc>
        <w:tc>
          <w:tcPr>
            <w:tcW w:type="dxa" w:w="1292"/>
          </w:tcPr>
          <w:p>
            <w:pPr>
              <w:keepNext w:val="0"/>
              <w:spacing w:after="20"/>
            </w:pPr>
            <w:r>
              <w:rPr>
                <w:sz w:val="16"/>
              </w:rPr>
              <w:t>6.7%</w:t>
            </w:r>
          </w:p>
        </w:tc>
        <w:tc>
          <w:tcPr>
            <w:tcW w:type="dxa" w:w="1011"/>
          </w:tcPr>
          <w:p>
            <w:pPr>
              <w:keepNext w:val="0"/>
              <w:spacing w:after="20"/>
            </w:pPr>
            <w:r>
              <w:rPr>
                <w:sz w:val="16"/>
              </w:rPr>
              <w:t>0%</w:t>
            </w:r>
          </w:p>
        </w:tc>
        <w:tc>
          <w:tcPr>
            <w:tcW w:type="dxa" w:w="1561"/>
          </w:tcPr>
          <w:p>
            <w:pPr>
              <w:keepNext w:val="0"/>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2.5%</w:t>
            </w:r>
          </w:p>
        </w:tc>
        <w:tc>
          <w:tcPr>
            <w:tcW w:type="dxa" w:w="1561"/>
          </w:tcPr>
          <w:p>
            <w:pPr>
              <w:keepNext w:val="0"/>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val="0"/>
              <w:spacing w:after="20"/>
            </w:pPr>
            <w:r>
              <w:rPr>
                <w:sz w:val="16"/>
              </w:rPr>
              <w:t>100</w:t>
            </w:r>
          </w:p>
        </w:tc>
        <w:tc>
          <w:tcPr>
            <w:tcW w:type="dxa" w:w="1292"/>
          </w:tcPr>
          <w:p>
            <w:pPr>
              <w:keepNext w:val="0"/>
              <w:spacing w:after="20"/>
            </w:pPr>
            <w:r>
              <w:rPr>
                <w:sz w:val="16"/>
              </w:rPr>
              <w:t>0%</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val="0"/>
              <w:spacing w:after="20"/>
            </w:pPr>
            <w:r>
              <w:rPr>
                <w:sz w:val="16"/>
              </w:rPr>
              <w:t>60</w:t>
            </w:r>
          </w:p>
        </w:tc>
        <w:tc>
          <w:tcPr>
            <w:tcW w:type="dxa" w:w="1292"/>
          </w:tcPr>
          <w:p>
            <w:pPr>
              <w:keepNext w:val="0"/>
              <w:spacing w:after="20"/>
            </w:pPr>
            <w:r>
              <w:rPr>
                <w:sz w:val="16"/>
              </w:rPr>
              <w:t>1.7%</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val="0"/>
              <w:spacing w:after="20"/>
            </w:pPr>
            <w:r>
              <w:rPr>
                <w:sz w:val="16"/>
              </w:rPr>
              <w:t>40</w:t>
            </w:r>
          </w:p>
        </w:tc>
        <w:tc>
          <w:tcPr>
            <w:tcW w:type="dxa" w:w="1292"/>
          </w:tcPr>
          <w:p>
            <w:pPr>
              <w:keepNext w:val="0"/>
              <w:spacing w:after="20"/>
            </w:pPr>
            <w:r>
              <w:rPr>
                <w:sz w:val="16"/>
              </w:rPr>
              <w:t>45%</w:t>
            </w:r>
          </w:p>
        </w:tc>
        <w:tc>
          <w:tcPr>
            <w:tcW w:type="dxa" w:w="1011"/>
          </w:tcPr>
          <w:p>
            <w:pPr>
              <w:keepNext w:val="0"/>
              <w:spacing w:after="20"/>
            </w:pPr>
            <w:r>
              <w:rPr>
                <w:sz w:val="16"/>
              </w:rPr>
              <w:t>42.5%</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val="0"/>
              <w:spacing w:after="20"/>
            </w:pPr>
            <w:r>
              <w:rPr>
                <w:sz w:val="16"/>
              </w:rPr>
              <w:t>40</w:t>
            </w:r>
          </w:p>
        </w:tc>
        <w:tc>
          <w:tcPr>
            <w:tcW w:type="dxa" w:w="1292"/>
          </w:tcPr>
          <w:p>
            <w:pPr>
              <w:keepNext w:val="0"/>
              <w:spacing w:after="20"/>
            </w:pPr>
            <w:r>
              <w:rPr>
                <w:sz w:val="16"/>
              </w:rPr>
              <w:t>10%</w:t>
            </w:r>
          </w:p>
        </w:tc>
        <w:tc>
          <w:tcPr>
            <w:tcW w:type="dxa" w:w="1011"/>
          </w:tcPr>
          <w:p>
            <w:pPr>
              <w:keepNext w:val="0"/>
              <w:spacing w:after="20"/>
            </w:pPr>
            <w:r>
              <w:rPr>
                <w:sz w:val="16"/>
              </w:rPr>
              <w:t>2.5%</w:t>
            </w:r>
          </w:p>
        </w:tc>
        <w:tc>
          <w:tcPr>
            <w:tcW w:type="dxa" w:w="1561"/>
          </w:tcPr>
          <w:p>
            <w:pPr>
              <w:keepNext w:val="0"/>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val="0"/>
              <w:spacing w:after="20"/>
            </w:pPr>
            <w:r>
              <w:rPr>
                <w:sz w:val="16"/>
              </w:rPr>
              <w:t>20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val="0"/>
              <w:spacing w:after="20"/>
            </w:pPr>
            <w:r>
              <w:rPr>
                <w:sz w:val="16"/>
              </w:rPr>
              <w:t>20</w:t>
            </w:r>
          </w:p>
        </w:tc>
        <w:tc>
          <w:tcPr>
            <w:tcW w:type="dxa" w:w="1292"/>
          </w:tcPr>
          <w:p>
            <w:pPr>
              <w:keepNext w:val="0"/>
              <w:spacing w:after="20"/>
            </w:pPr>
            <w:r>
              <w:rPr>
                <w:sz w:val="16"/>
              </w:rPr>
              <w:t>10%</w:t>
            </w:r>
          </w:p>
        </w:tc>
        <w:tc>
          <w:tcPr>
            <w:tcW w:type="dxa" w:w="1011"/>
          </w:tcPr>
          <w:p>
            <w:pPr>
              <w:keepNext w:val="0"/>
              <w:spacing w:after="20"/>
            </w:pPr>
            <w:r>
              <w:rPr>
                <w:sz w:val="16"/>
              </w:rPr>
              <w:t>5%</w:t>
            </w:r>
          </w:p>
        </w:tc>
        <w:tc>
          <w:tcPr>
            <w:tcW w:type="dxa" w:w="1561"/>
          </w:tcPr>
          <w:p>
            <w:pPr>
              <w:keepNext w:val="0"/>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val="0"/>
              <w:spacing w:after="20"/>
            </w:pPr>
            <w:r>
              <w:rPr>
                <w:sz w:val="16"/>
              </w:rPr>
              <w:t>40</w:t>
            </w:r>
          </w:p>
        </w:tc>
        <w:tc>
          <w:tcPr>
            <w:tcW w:type="dxa" w:w="1292"/>
          </w:tcPr>
          <w:p>
            <w:pPr>
              <w:keepNext w:val="0"/>
              <w:spacing w:after="20"/>
            </w:pPr>
            <w:r>
              <w:rPr>
                <w:sz w:val="16"/>
              </w:rPr>
              <w:t>52.5%</w:t>
            </w:r>
          </w:p>
        </w:tc>
        <w:tc>
          <w:tcPr>
            <w:tcW w:type="dxa" w:w="1011"/>
          </w:tcPr>
          <w:p>
            <w:pPr>
              <w:keepNext w:val="0"/>
              <w:spacing w:after="20"/>
            </w:pPr>
            <w:r>
              <w:rPr>
                <w:sz w:val="16"/>
              </w:rPr>
              <w:t>50%</w:t>
            </w:r>
          </w:p>
        </w:tc>
        <w:tc>
          <w:tcPr>
            <w:tcW w:type="dxa" w:w="1561"/>
          </w:tcPr>
          <w:p>
            <w:pPr>
              <w:keepNext w:val="0"/>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every run is reported whatever its outcome. The plan, timestamped before any of these data, fixed each run's hypotheses, sample sizes and numerical predictions, and pre-registered the co-departure test of C.10 as a secondary statistic, predicting false alarms of at most 10% and power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rPr>
        <w:t>Deviations from the plan.</w:t>
      </w:r>
      <w:r>
        <w:rPr>
          <w:sz w:val="20"/>
        </w:rPr>
        <w:t xml:space="preserve"> Table A9 lists every deviation and what was done.</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spacing w:after="20"/>
            </w:pPr>
            <w:r>
              <w:rPr>
                <w:sz w:val="16"/>
              </w:rPr>
              <w:t>Models that failed the pilot's format or availability checks</w:t>
            </w:r>
          </w:p>
        </w:tc>
        <w:tc>
          <w:tcPr>
            <w:tcW w:type="dxa" w:w="2643"/>
          </w:tcPr>
          <w:p>
            <w:pPr>
              <w:keepNext/>
              <w:spacing w:after="20"/>
            </w:pPr>
            <w:r>
              <w:rPr>
                <w:sz w:val="16"/>
              </w:rPr>
              <w:t>dropped before the main samples</w:t>
            </w:r>
          </w:p>
        </w:tc>
      </w:tr>
      <w:tr>
        <w:trPr>
          <w:cantSplit/>
        </w:trPr>
        <w:tc>
          <w:tcPr>
            <w:tcW w:type="dxa" w:w="6429"/>
          </w:tcPr>
          <w:p>
            <w:pPr>
              <w:keepNext w:val="0"/>
              <w:spacing w:after="20"/>
            </w:pPr>
            <w:r>
              <w:rPr>
                <w:sz w:val="16"/>
              </w:rPr>
              <w:t>Body sentences that report C1 and C2 shortened after the data for readability</w:t>
            </w:r>
          </w:p>
        </w:tc>
        <w:tc>
          <w:tcPr>
            <w:tcW w:type="dxa" w:w="2643"/>
          </w:tcPr>
          <w:p>
            <w:pPr>
              <w:keepNext w:val="0"/>
              <w:spacing w:after="20"/>
            </w:pPr>
            <w:r>
              <w:rPr>
                <w:sz w:val="16"/>
              </w:rPr>
              <w:t>verdicts and numbers unchanged; test names and p-values in Table A6b</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