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as it does on published auction logs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and over whole games we measure it: 4.2% of 550 honest LLM games, with the analysis fixed in advance. In a procurement auction it names the pair in 92.5% of games where a pricing vendor secretly shares two clients' costs, as alleged in Duffy v. Yardi, and flags 1.7% when the vendor uses only public data. In rock-paper-scissors it names 35% of Haiku and 10% of DeepSeek pairs instructed to collude, depending on how strongly the channel shapes moves. A sequential version, which can stop as soon as the evidence is strong,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$0.014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