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the test is exact within each round, and a sequential version stays valid at any stopping time. On 550 honest LLM games its fixed-horizon version flags 4.2%. In a procurement auction with a shared pricing vendor, it names the true pair in 92.5% of games when the vendor pools their confidential costs and flags 1.7% when the vendor uses only public data. In a pre-registered replication on fresh games, the sequential version named an instructed pair in 18/20 games (fixed-length test: 11/20), with 0/40 false alarms.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(§5.5).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Audit the Whisper [2] replays whole runs; we replay each agent inside every round on its own logged view.</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§5.5).</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serve for validation. All run at temperature 1 with reasoning turned off where the model allows it.</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auction, where honest bids barely vary, no detector flagged more than 2% of honest games.</w:t>
      </w:r>
    </w:p>
    <w:p>
      <w:pPr>
        <w:keepNext/>
        <w:spacing w:after="40" w:before="0"/>
        <w:jc w:val="center"/>
      </w:pPr>
      <w:r>
        <w:drawing>
          <wp:inline>
            <wp:extent cx="5760720" cy="182880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82880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That includes 4% of the four-Haiku games that mutual information accuses most. Its p-values on honest games are close to uniform. In the auction it flags 1% of honest games, and on the three validation models 3/40, 4/40 and 1/40 (Appendix C). The fixed-horizon test can over-reject when honest agents repeat their own moves (§5.5); under A1 the sequential test keeps its level (Proposition 2).</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3).</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4). Its guarantee costs power elsewhere: it names the pooled-data vendor pair in 45% of games, against 92.5% for the fixed-horizon test, and 0% of DeepSeek pairs (Appendix C).</w:t>
      </w:r>
    </w:p>
    <w:p>
      <w:pPr>
        <w:keepNext/>
        <w:spacing w:after="40" w:before="0"/>
        <w:jc w:val="center"/>
      </w:pPr>
      <w:r>
        <w:drawing>
          <wp:inline>
            <wp:extent cx="5760720" cy="1874519"/>
            <wp:docPr id="3" name="Picture 3"/>
            <wp:cNvGraphicFramePr>
              <a:graphicFrameLocks noChangeAspect="1"/>
            </wp:cNvGraphicFramePr>
            <a:graphic>
              <a:graphicData uri="http://schemas.openxmlformats.org/drawingml/2006/picture">
                <pic:pic>
                  <pic:nvPicPr>
                    <pic:cNvPr id="0" name="p_fig3_roc.png"/>
                    <pic:cNvPicPr/>
                  </pic:nvPicPr>
                  <pic:blipFill>
                    <a:blip r:embed="rId10"/>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3.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pStyle w:val="Heading3"/>
        <w:keepNext/>
        <w:spacing w:before="100" w:after="60"/>
      </w:pPr>
      <w:r>
        <w:rPr/>
        <w:t>5.4 LLM judges rank pairs but do not control their error rate</w:t>
      </w:r>
    </w:p>
    <w:p>
      <w:pPr>
        <w:spacing w:after="60" w:before="0"/>
        <w:jc w:val="both"/>
      </w:pPr>
      <w:r>
        <w:rPr>
          <w:b/>
          <w:sz w:val="20"/>
        </w:rPr>
        <w:t>A judge reading the actions ranks Haiku pairs about as well as the replay test, but nothing fixes how often it accuses honest agents.</w:t>
      </w:r>
      <w:r>
        <w:rPr>
          <w:sz w:val="20"/>
        </w:rPr>
        <w:t xml:space="preserve"> Contrary to our pre-registered prediction, its AUROC for Haiku is 0.85, against 0.77 for the replay test, and both are near chance for DeepSeek. Given the private messages, the judge also accuses 65% of Haiku groups whose collusive plans were never delivered, where the replay test flags 7.5%.</w:t>
      </w:r>
    </w:p>
    <w:p>
      <w:pPr>
        <w:keepNext/>
        <w:spacing w:after="40" w:before="0"/>
        <w:jc w:val="center"/>
      </w:pPr>
      <w:r>
        <w:drawing>
          <wp:inline>
            <wp:extent cx="5760720" cy="1600200"/>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600200"/>
                    </a:xfrm>
                    <a:prstGeom prst="rect"/>
                  </pic:spPr>
                </pic:pic>
              </a:graphicData>
            </a:graphic>
          </wp:inline>
        </w:drawing>
      </w:r>
    </w:p>
    <w:p>
      <w:pPr>
        <w:spacing w:after="12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5.5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five-game pilot of our re-implementation of Agrawal et al.'s double auction [7], sellers told to follow a leader's price floor raised prices, and their replays, which keep each seller's memory, did the same (mean asks 90.26 logged, 90.21 replayed). A follower that reads "floor 91" in hour 3 notes it, and in hour 4 its replay, without the inbox, still reads the note and asks 91; replays lag only when the floor changes.</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tabs>
          <w:tab w:pos="403" w:val="left"/>
        </w:tabs>
        <w:spacing w:after="40" w:before="0"/>
        <w:ind w:left="403" w:hanging="288"/>
      </w:pPr>
      <w:r>
        <w:rPr>
          <w:sz w:val="20"/>
        </w:rPr>
        <w:t>•</w:t>
        <w:tab/>
      </w:r>
      <w:r>
        <w:rPr>
          <w:i/>
          <w:sz w:val="20"/>
        </w:rPr>
        <w:t>Coalitions of three.</w:t>
      </w:r>
      <w:r>
        <w:rPr>
          <w:sz w:val="20"/>
        </w:rPr>
        <w:t xml:space="preserve"> In a simulated coalition of three, net influence cancels and flags 16–20% of logs; the sequential test flags 100%.</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can run the test before deployment and in periodic audits if they log each agent's prompt and state at every step. A flag then points to the audited channel rather than to a shared vendor, so same-model fleets stop filling escalation lists with false accusations.</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(§5.5).</w:t>
      </w:r>
    </w:p>
    <w:p>
      <w:pPr>
        <w:tabs>
          <w:tab w:pos="432" w:val="left"/>
        </w:tabs>
        <w:spacing w:after="40" w:before="0"/>
        <w:ind w:left="432" w:hanging="432"/>
      </w:pPr>
      <w:r>
        <w:rPr>
          <w:sz w:val="20"/>
        </w:rPr>
        <w:t>4.</w:t>
        <w:tab/>
      </w:r>
      <w:r>
        <w:rPr>
          <w:i/>
          <w:sz w:val="20"/>
        </w:rPr>
        <w:t>Evidence.</w:t>
      </w:r>
      <w:r>
        <w:rPr>
          <w:sz w:val="20"/>
        </w:rPr>
        <w:t xml:space="preserve"> Colluders were instructed, and detection rates need not transfer to emergent or test-aware collusion (Appendix C); we used two main model families, short games and stylised auctions.</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keeps detectable the channels that leave a joint signal, and in its sequential form stays valid under feedback. Agreements held in instructions or memory call for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