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on Agrawal et al.'s (2025) auction logs it flags 8 of 10 runs where sellers could not talk. Our replay test asks each deployed agent again, every round, on what it saw minus its private channel, and flags a pair only if their moves depend on each other more than their replays do. If replayed calls are interchangeable with the originals, each round's comparison is exact; a diagnostic is consistent with this. In 550 honest LLM games, with the analysis fixed in advance, its measured false-alarm rate is 4.2% against a 5% target. In a procurement auction it names the pair in 92.5% of games where a pricing vendor secretly shares two clients' costs, as alleged in a US antitrust case (Duffy v. Yardi), and flags 1.7% when the vendor uses only public data. In rock-paper-scissors it names 35% of Haiku and 10% of DeepSeek pairs instructed to collude, depending on how strongly the channel shapes moves. A sequential version that may stop at any round named 18/20 pairs against 11/20 for the fixed test in a pre-registered replication. Coordination written into shared instructions is invisible to it by design.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its private channel, and accuse a pair only if its real moves are more alike than these replays.</w:t>
            </w:r>
          </w:p>
          <w:p>
            <w:pPr>
              <w:spacing w:after="20"/>
              <w:ind w:left="216" w:hanging="173"/>
            </w:pPr>
            <w:r>
              <w:rPr>
                <w:sz w:val="17"/>
              </w:rPr>
              <w:t xml:space="preserve">• </w:t>
            </w:r>
            <w:r>
              <w:rPr>
                <w:b/>
                <w:sz w:val="17"/>
              </w:rPr>
              <w:t>Results.</w:t>
            </w:r>
            <w:r>
              <w:rPr>
                <w:sz w:val="17"/>
              </w:rPr>
              <w:t xml:space="preserve"> On those games false accusations fall from 69.3% to 4% (Fig. 2). In a fresh, pre-registered sample the anytime version named 18/20 planted pairs. The replays cost about $0.014 per audit.</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accuses every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just as alike, so the replay test does not accuse. Now let P1 secretly tell P3 what to play. Asked again without that message, P1 and P3 stop matching, and the pair is flagged.</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must decide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tests flag up to 69.3% of honest same-model episodes, against the 5% they promise.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Mixing each logged action with its replays makes each round's comparison exact. The test holds its 5%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LLM judges rank as well, but only the replay test controls false alarms.</w:t>
      </w:r>
      <w:r>
        <w:rPr>
          <w:sz w:val="20"/>
        </w:rPr>
        <w:t xml:space="preserve"> An LLM judge reading actions ranks episodes about as well as the replay test, but its false-alarm rate is not under the auditor's control. A judge reading private messages flags collusive plans that were never delivered. We report detection at fixed false-alarm rates and the cost per audit, and release a pre-registered plan, code and logs (§4.5–4.6).</w:t>
      </w:r>
    </w:p>
    <w:p>
      <w:pPr>
        <w:spacing w:after="80" w:before="0"/>
        <w:jc w:val="both"/>
      </w:pPr>
      <w:r>
        <w:rPr>
          <w:b/>
          <w:sz w:val="20"/>
        </w:rPr>
        <w:t>Sprint questions (from the Apart brief).</w:t>
      </w:r>
      <w:r>
        <w:rPr>
          <w:sz w:val="20"/>
        </w:rPr>
        <w:t xml:space="preserve"> We answer 1.4 (net influence carried to LLM agents with a calibrated null) and 2.3 (the brief's three case types, coordinated harmful action, common incentives without agreement and talk without action,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p>
            <w:pPr>
              <w:spacing w:after="20"/>
              <w:ind w:left="216" w:hanging="173"/>
            </w:pPr>
            <w:r>
              <w:rPr>
                <w:sz w:val="17"/>
              </w:rPr>
              <w:t xml:space="preserve">• </w:t>
            </w:r>
            <w:r>
              <w:rPr>
                <w:b/>
                <w:sz w:val="17"/>
              </w:rPr>
              <w:t>One replay or two:</w:t>
            </w:r>
            <w:r>
              <w:rPr>
                <w:sz w:val="17"/>
              </w:rPr>
              <w:t xml:space="preserve"> with k = 1 the fixed-horizon test lost little in our data at half the replay calls; the sequential test benefits from k = 2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