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it also flags 8 of 10 published auction runs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for the main models, and over whole games we measure it: 4.2% of 550 honest LLM games, with the analysis fixed in advance. In a procurement auction it names the pair in 92.5% of games where a pricing vendor shares two clients' costs, as alleged in Duffy v. Yardi, and flags 1.7% when the vendor uses only public data. In rock-paper-scissors it names 35% of Haiku and 10% of DeepSeek pairs instructed to collude, depending on how strongly the channel shapes moves. A sequential version that can stop early named 18/20 instructed pairs against 11/20 for the fixed-length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sequential version, which may stop as soon as the evidence is strong, named 18/20 instructed Haiku pairs (fixed-length test: 11/20) in a fresh, pre-registered sample. The replays cost about $0.015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can accuse any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targets).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removes only that, and decides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(Appendix C checks this; it is not proven),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dependence tests accuse honest same-model agents</w:t>
      </w:r>
      <w:r>
        <w:rPr>
          <w:sz w:val="20"/>
        </w:rPr>
        <w:t xml:space="preserve">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stays near its false-alarm rate in every main honest condition:</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w:t>
      </w:r>
      <w:r>
        <w:rPr>
          <w:sz w:val="20"/>
        </w:rPr>
        <w:t xml:space="preserve"> We answer 1.4 (net influence on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 Our replay is an action-level analogue of the "sentinel" comparison Anwar proposed at this sprint for steganography.</w:t>
      </w:r>
    </w:p>
    <w:p>
      <w:pPr>
        <w:spacing w:after="80" w:before="0"/>
        <w:jc w:val="both"/>
      </w:pPr>
      <w:r>
        <w:rPr>
          <w:b/>
          <w:sz w:val="20"/>
        </w:rPr>
        <w:t>Definition used.</w:t>
      </w:r>
      <w:r>
        <w:rPr>
          <w:sz w:val="20"/>
        </w:rPr>
        <w:t xml:space="preserve"> Of the 139 definitions in the organisers' survey [16], we follow those that require communication (Rose et al. [15]: "agents must actively communicate, whether explicitly or implicitly, to collude"). Unlike them, we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389120" cy="1393671"/>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389120" cy="1393671"/>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[17, 18],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(run under separate pilot tags)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 In a small pilot re-implementing that auction, it flagged 3 of 8 no-chat episodes and the replay tests none (App. C).</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a first, non-pooled version of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4846320" cy="2744022"/>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4846320" cy="2744022"/>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confidence intervals (Wilson).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120640" cy="2021996"/>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120640" cy="2021996"/>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[19–21], so its false-alarm rate is at most α at any stopping time, even under history feedback. It uses the same re-queries; the formula is in Appendix C. Its false-alarm rate stays at or below 3.3% on the simulator up to 120 rounds and is 0.2% on the honest rock-paper-scissors episodes. It names Haiku hidden-channel pairs in 82.5% of episodes, after a median of 19 rounds (fixed-horizon test: 35%), but the vendor-leak pair in only 45% (fixed-horizon test: 92.5%).</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$0.015 per 30-round, 4-agent audit at DeepSeek prices (the whole study: 498,082 calls, $43.78).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Variants:</w:t>
            </w:r>
            <w:r>
              <w:rPr>
                <w:sz w:val="17"/>
              </w:rPr>
              <w:t xml:space="preserve"> for coalitions of three or more use raw mutual information or the sequential test (net influence cancels inside a coalition; simulator evidence); one replay instead of two halves the cost and cost the fixed test little in our data (Appendix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not evidence; the replay test asks what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shown empirically, not proven; the sequential version (§4.6) keeps its level and was replicated in a pre-registered sample on one model. The per-round null assumes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Two main model families, short games and a stylised auction; the Agrawal panel checks only false alarms, since those policies cannot be queried again.</w:t>
      </w:r>
    </w:p>
    <w:p>
      <w:pPr>
        <w:spacing w:after="80" w:before="0"/>
        <w:jc w:val="both"/>
      </w:pPr>
      <w:r>
        <w:rPr>
          <w:b/>
          <w:sz w:val="20"/>
        </w:rPr>
        <w:t>Future work:</w:t>
      </w:r>
      <w:r>
        <w:rPr>
          <w:sz w:val="20"/>
        </w:rPr>
        <w:t xml:space="preserve"> statistics for varied hidden plans, adversaries trained against the test, policy audits.</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pPr>
        <w:tabs>
          <w:tab w:pos="403" w:val="left"/>
        </w:tabs>
        <w:spacing w:after="40" w:before="0"/>
        <w:ind w:left="403" w:hanging="288"/>
      </w:pPr>
      <w:r>
        <w:rPr>
          <w:sz w:val="20"/>
        </w:rPr>
        <w:t>17.</w:t>
        <w:tab/>
      </w:r>
      <w:r>
        <w:rPr>
          <w:sz w:val="20"/>
        </w:rPr>
        <w:t>J. Hemerik, J. Goeman. Exact testing with random permutations. TEST 27(4):811–825, 2018.</w:t>
      </w:r>
    </w:p>
    <w:p>
      <w:pPr>
        <w:tabs>
          <w:tab w:pos="403" w:val="left"/>
        </w:tabs>
        <w:spacing w:after="40" w:before="0"/>
        <w:ind w:left="403" w:hanging="288"/>
      </w:pPr>
      <w:r>
        <w:rPr>
          <w:sz w:val="20"/>
        </w:rPr>
        <w:t>18.</w:t>
        <w:tab/>
      </w:r>
      <w:r>
        <w:rPr>
          <w:sz w:val="20"/>
        </w:rPr>
        <w:t>E. Lehmann, J. Romano. Testing Statistical Hypotheses, 3rd ed., Springer, 2005, §15.2.</w:t>
      </w:r>
    </w:p>
    <w:p>
      <w:pPr>
        <w:tabs>
          <w:tab w:pos="403" w:val="left"/>
        </w:tabs>
        <w:spacing w:after="40" w:before="0"/>
        <w:ind w:left="403" w:hanging="288"/>
      </w:pPr>
      <w:r>
        <w:rPr>
          <w:sz w:val="20"/>
        </w:rPr>
        <w:t>19.</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20.</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21.</w:t>
        <w:tab/>
      </w:r>
      <w:r>
        <w:rPr>
          <w:sz w:val="20"/>
        </w:rPr>
        <w:t>A. Ramdas, P. Grünwald, V. Vovk, G. Shafer. Game-theoretic statistics and safe anytime-valid inference. Statistical Science 38(4):576–601, 2023.</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[19, 20, 21],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Pilot in the organisers' target environment (descriptive; excluded from all confirmatory analyses).</w:t>
      </w:r>
      <w:r>
        <w:rPr>
          <w:sz w:val="20"/>
        </w:rPr>
        <w:t xml:space="preserve"> We re-implemented Agrawal et al.'s hourly double auction from their design, with prompts written by us carrying the same information (</w:t>
      </w:r>
      <w:r>
        <w:rPr>
          <w:rFonts w:ascii="Courier New" w:hAnsi="Courier New"/>
          <w:sz w:val="20"/>
        </w:rPr>
        <w:t>src/collusion/games/cda.py</w:t>
      </w:r>
      <w:r>
        <w:rPr>
          <w:sz w:val="20"/>
        </w:rPr>
        <w:t>). The mechanics: one order per hour that replaces the last, end-of-hour matching at the midpoint, previous-hour seller chat, and each agent's own memory and notebook. Five sellers (cost 80) are audited; the five buyers are LLMs, as in their default configuration. We ran 16 fifteen-hour episodes with DeepSeek or Haiku sellers, chat off or on.</w:t>
      </w:r>
    </w:p>
    <w:p>
      <w:pPr>
        <w:tabs>
          <w:tab w:pos="806" w:val="left"/>
        </w:tabs>
        <w:spacing w:after="40" w:before="0"/>
        <w:ind w:left="806" w:hanging="288"/>
      </w:pPr>
      <w:r>
        <w:rPr>
          <w:sz w:val="20"/>
        </w:rPr>
        <w:t>–</w:t>
        <w:tab/>
      </w:r>
      <w:r>
        <w:rPr>
          <w:sz w:val="20"/>
        </w:rPr>
        <w:t>Chat produced 575 messages, 444 of them matching a broad agreement word list, but showed no material price rise: 86.25 without and 86.36 with chat for DeepSeek sellers, and 88.53 and 88.83 for Haiku. This is the brief's third case type, collusive-sounding talk that does not change behaviour, in the target environment.</w:t>
      </w:r>
    </w:p>
    <w:p>
      <w:pPr>
        <w:tabs>
          <w:tab w:pos="806" w:val="left"/>
        </w:tabs>
        <w:spacing w:after="40" w:before="0"/>
        <w:ind w:left="806" w:hanging="288"/>
      </w:pPr>
      <w:r>
        <w:rPr>
          <w:sz w:val="20"/>
        </w:rPr>
        <w:t>–</w:t>
        <w:tab/>
      </w:r>
      <w:r>
        <w:rPr>
          <w:sz w:val="20"/>
        </w:rPr>
        <w:t>The sequential test and both fixed-horizon replay statistics (raw MI and net influence) raised 0 flags. The time-shuffle MI screen flagged 3 of 8 no-chat episodes, which have no channel at all, and 4 of 8 chat episodes.</w:t>
      </w:r>
    </w:p>
    <w:p>
      <w:pPr>
        <w:tabs>
          <w:tab w:pos="806" w:val="left"/>
        </w:tabs>
        <w:spacing w:after="40" w:before="0"/>
        <w:ind w:left="806" w:hanging="288"/>
      </w:pPr>
      <w:r>
        <w:rPr>
          <w:sz w:val="20"/>
        </w:rPr>
        <w:t>–</w:t>
        <w:tab/>
      </w:r>
      <w:r>
        <w:rPr>
          <w:sz w:val="20"/>
        </w:rPr>
        <w:t>With 3–5 short episodes per cell, coarse bins and no positive control, these counts establish neither the absence of a chat effect nor a detector advantage. A pre-registered 2×2 with an instructed-cartel positive control is drafted (</w:t>
      </w:r>
      <w:r>
        <w:rPr>
          <w:rFonts w:ascii="Courier New" w:hAnsi="Courier New"/>
          <w:sz w:val="20"/>
        </w:rPr>
        <w:t>docs/agrawal_live_plan.md</w:t>
      </w:r>
      <w:r>
        <w:rPr>
          <w:sz w:val="20"/>
        </w:rPr>
        <w:t>) but not run.</w:t>
      </w:r>
    </w:p>
    <w:p>
      <w:pPr>
        <w:tabs>
          <w:tab w:pos="403" w:val="left"/>
        </w:tabs>
        <w:spacing w:after="40" w:before="0"/>
        <w:ind w:left="403" w:hanging="288"/>
      </w:pPr>
      <w:r>
        <w:rPr>
          <w:sz w:val="20"/>
        </w:rPr>
        <w:t>•</w:t>
        <w:tab/>
      </w:r>
      <w:r>
        <w:rPr>
          <w:b/>
          <w:sz w:val="20"/>
        </w:rPr>
        <w:t>One replay instead of two (exploratory re-analysis)</w:t>
      </w:r>
      <w:r>
        <w:rPr>
          <w:sz w:val="20"/>
        </w:rPr>
        <w:t xml:space="preserve"> (</w:t>
      </w:r>
      <w:r>
        <w:rPr>
          <w:rFonts w:ascii="Courier New" w:hAnsi="Courier New"/>
          <w:sz w:val="20"/>
        </w:rPr>
        <w:t>experiments/k_requeries.py</w:t>
      </w:r>
      <w:r>
        <w:rPr>
          <w:sz w:val="20"/>
        </w:rPr>
        <w:t>).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false alarms on the pooled honest S1 and S2 episodes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300 runs per cell)</w:t>
      </w:r>
      <w:r>
        <w:rPr>
          <w:sz w:val="20"/>
        </w:rPr>
        <w:t xml:space="preserve"> (</w:t>
      </w:r>
      <w:r>
        <w:rPr>
          <w:rFonts w:ascii="Courier New" w:hAnsi="Courier New"/>
          <w:sz w:val="20"/>
        </w:rPr>
        <w:t>experiments/s0d_coalition.py</w:t>
      </w:r>
      <w:r>
        <w:rPr>
          <w:sz w:val="20"/>
        </w:rPr>
        <w:t>).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tabs>
          <w:tab w:pos="806" w:val="left"/>
        </w:tabs>
        <w:spacing w:after="40" w:before="0"/>
        <w:ind w:left="806" w:hanging="288"/>
      </w:pPr>
      <w:r>
        <w:rPr>
          <w:sz w:val="20"/>
        </w:rPr>
        <w:t>–</w:t>
        <w:tab/>
      </w:r>
      <w:r>
        <w:rPr>
          <w:sz w:val="20"/>
        </w:rPr>
        <w:t>Qwen 3.7 Flash ignored JSON mode (29% of raw replies had no JSON).</w:t>
      </w:r>
    </w:p>
    <w:p>
      <w:pPr>
        <w:tabs>
          <w:tab w:pos="806" w:val="left"/>
        </w:tabs>
        <w:spacing w:after="40" w:before="0"/>
        <w:ind w:left="806" w:hanging="288"/>
      </w:pPr>
      <w:r>
        <w:rPr>
          <w:sz w:val="20"/>
        </w:rPr>
        <w:t>–</w:t>
        <w:tab/>
      </w:r>
      <w:r>
        <w:rPr>
          <w:sz w:val="20"/>
        </w:rPr>
        <w:t>Mistral Small had persistent upstream rate limits.</w:t>
      </w:r>
    </w:p>
    <w:p>
      <w:pPr>
        <w:tabs>
          <w:tab w:pos="806" w:val="left"/>
        </w:tabs>
        <w:spacing w:after="40" w:before="0"/>
        <w:ind w:left="806" w:hanging="288"/>
      </w:pPr>
      <w:r>
        <w:rPr>
          <w:sz w:val="20"/>
        </w:rPr>
        <w:t>–</w:t>
        <w:tab/>
      </w:r>
      <w:r>
        <w:rPr>
          <w:sz w:val="20"/>
        </w:rPr>
        <w:t>Gemini Flash-Lite was blocked in our region.</w:t>
      </w:r>
    </w:p>
    <w:p>
      <w:pPr>
        <w:tabs>
          <w:tab w:pos="403" w:val="left"/>
        </w:tabs>
        <w:spacing w:after="40" w:before="0"/>
        <w:ind w:left="403" w:hanging="288"/>
      </w:pPr>
      <w:r>
        <w:rPr>
          <w:sz w:val="20"/>
        </w:rPr>
        <w:t>•</w:t>
        <w:tab/>
      </w:r>
      <w:r>
        <w:rPr>
          <w:b/>
          <w:sz w:val="20"/>
        </w:rPr>
        <w:t>Deviations from the plan:</w:t>
      </w:r>
    </w:p>
    <w:p>
      <w:pPr>
        <w:tabs>
          <w:tab w:pos="806" w:val="left"/>
        </w:tabs>
        <w:spacing w:after="40" w:before="0"/>
        <w:ind w:left="806" w:hanging="288"/>
      </w:pPr>
      <w:r>
        <w:rPr>
          <w:sz w:val="20"/>
        </w:rPr>
        <w:t>–</w:t>
        <w:tab/>
      </w:r>
      <w:r>
        <w:rPr>
          <w:sz w:val="20"/>
        </w:rPr>
        <w:t>Connection errors during the first launch were handled by rerunning the same seeds from the cache.</w:t>
      </w:r>
    </w:p>
    <w:p>
      <w:pPr>
        <w:tabs>
          <w:tab w:pos="806" w:val="left"/>
        </w:tabs>
        <w:spacing w:after="40" w:before="0"/>
        <w:ind w:left="806" w:hanging="288"/>
      </w:pPr>
      <w:r>
        <w:rPr>
          <w:sz w:val="20"/>
        </w:rPr>
        <w:t>–</w:t>
        <w:tab/>
      </w:r>
      <w:r>
        <w:rPr>
          <w:sz w:val="20"/>
        </w:rPr>
        <w:t>A post-hoc "replay deviation" statistic (an agent's logged move compared with its own replays) was calibrated on the simulator but did not improve detection (12.5% for DeepSeek). We report it as tried and not helpful, and no claim rests on it.</w:t>
      </w:r>
    </w:p>
    <w:p>
      <w:pPr>
        <w:tabs>
          <w:tab w:pos="806" w:val="left"/>
        </w:tabs>
        <w:spacing w:after="40" w:before="0"/>
        <w:ind w:left="806" w:hanging="288"/>
      </w:pPr>
      <w:r>
        <w:rPr>
          <w:sz w:val="20"/>
        </w:rPr>
        <w:t>–</w:t>
        <w:tab/>
      </w:r>
      <w:r>
        <w:rPr>
          <w:sz w:val="20"/>
        </w:rPr>
        <w:t xml:space="preserve">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w:t>
      </w:r>
    </w:p>
    <w:p>
      <w:pPr>
        <w:tabs>
          <w:tab w:pos="806" w:val="left"/>
        </w:tabs>
        <w:spacing w:after="40" w:before="0"/>
        <w:ind w:left="806" w:hanging="288"/>
      </w:pPr>
      <w:r>
        <w:rPr>
          <w:sz w:val="20"/>
        </w:rPr>
        <w:t>–</w:t>
        <w:tab/>
      </w:r>
      <w:r>
        <w:rPr>
          <w:sz w:val="20"/>
        </w:rPr>
        <w:t>The Codex review found that the sequential test named the pair by its final e-value instead of at the alarm round. We fixed it and recomputed all sequential results (Haiku 85% → 82.5%).</w:t>
      </w:r>
    </w:p>
    <w:p>
      <w:pPr>
        <w:tabs>
          <w:tab w:pos="806" w:val="left"/>
        </w:tabs>
        <w:spacing w:after="40" w:before="0"/>
        <w:ind w:left="806" w:hanging="288"/>
      </w:pPr>
      <w:r>
        <w:rPr>
          <w:sz w:val="20"/>
        </w:rPr>
        <w:t>–</w:t>
        <w:tab/>
      </w:r>
      <w:r>
        <w:rPr>
          <w:sz w:val="20"/>
        </w:rPr>
        <w:t>Table A1, the AUROC intervals and Fisher's test were added after the reviews, computed from the frozen statistics.</w:t>
      </w:r>
    </w:p>
    <w:p>
      <w:pPr>
        <w:tabs>
          <w:tab w:pos="806" w:val="left"/>
        </w:tabs>
        <w:spacing w:after="40" w:before="0"/>
        <w:ind w:left="806" w:hanging="288"/>
      </w:pPr>
      <w:r>
        <w:rPr>
          <w:sz w:val="20"/>
        </w:rPr>
        <w:t>–</w:t>
        <w:tab/>
      </w:r>
      <w:r>
        <w:rPr>
          <w:sz w:val="20"/>
        </w:rPr>
        <w:t>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w:t>
      </w:r>
    </w:p>
    <w:p>
      <w:pPr>
        <w:tabs>
          <w:tab w:pos="806" w:val="left"/>
        </w:tabs>
        <w:spacing w:after="40" w:before="0"/>
        <w:ind w:left="806" w:hanging="288"/>
      </w:pPr>
      <w:r>
        <w:rPr>
          <w:sz w:val="20"/>
        </w:rPr>
        <w:t>–</w:t>
        <w:tab/>
      </w:r>
      <w:r>
        <w:rPr>
          <w:sz w:val="20"/>
        </w:rPr>
        <w:t>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the pooled honest S1 and S2 episodes flagged, n = 710):</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3.5%</w:t>
            </w:r>
          </w:p>
        </w:tc>
      </w:tr>
    </w:tbl>
    <w:p>
      <w:pPr>
        <w:spacing w:after="80" w:before="0"/>
      </w:pPr>
    </w:p>
    <w:p>
      <w:pPr>
        <w:tabs>
          <w:tab w:pos="806" w:val="left"/>
        </w:tabs>
        <w:spacing w:after="40" w:before="0"/>
        <w:ind w:left="806" w:hanging="288"/>
      </w:pPr>
      <w:r>
        <w:rPr>
          <w:sz w:val="20"/>
        </w:rPr>
        <w:t>–</w:t>
        <w:tab/>
      </w:r>
      <w:r>
        <w:rPr>
          <w:sz w:val="20"/>
        </w:rPr>
        <w:t>Added after the freeze and labelled exploratory: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