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 names the true pair in 92.5% of games when the vendor pools their confidential costs and flags 1.7% when the vendor uses only public data. A pre-registered replication on fresh games confirmed the sequential version on an instructed positive control (18/20 pairs named, 0/40 false alarms).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(20/30 against 1/30), now under a fresh pre-registered test.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(the action alphabet is fixed before the first round; every run here passes it explicitly)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(same model, mixed models and undelivered plans) the replay test flags 4.2% at the 5% level</w:t>
      </w:r>
      <w:r>
        <w:rPr>
          <w:sz w:val="20"/>
        </w:rPr>
        <w:t xml:space="preserve"> (95% CI 3–6%). Its p-values on honest games are close to uniform. In the auction it flags 1% of honest games, and on the validation models 3/40 (GPT-6 Luna), 4/40 (Gemma 3) and 1/40 (gpt-oss-20b), each within the interval of a 5% rate.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Its guarantee costs power elsewhere: it names the pooled-data vendor pair in 45% of games, against 92.5% for the fixed-horizon test. Appendix C.9 explains why: a post-hoc likelihood-ratio bet recovers 92.5% here but names fewer Haiku pairs (62.5%).</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(Appendix C.10), and a fresh pre-registered series tests it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the optimal bet finds a channel whose current messages shift payoffs at a speed set by the size of the shift (Appendix C.9);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From actions alone the Haiku judge flags 8.7% of honest Haiku games, with AUROC 0.85 (95% CI 0.78–0.91) for Haiku and 0.50 (0.41–0.60) for DeepSeek, against 0.77 (0.67–0.85) and 0.55 (0.44–0.65) for the replay test; given the private messages it flags 65% of Haiku and 100% of DeepSeek games whose plans were never delivered;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so the divergence it can use is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xml:space="preserve">, where the replay null </w:t>
      </w:r>
      <m:oMath>
        <m:acc>
          <m:accPr>
            <m:chr m:val="̅"/>
          </m:accPr>
          <m:e>
            <m:r>
              <m:t xml:space="preserve">P</m:t>
            </m:r>
          </m:e>
        </m:acc>
      </m:oMath>
      <w:r>
        <w:rPr>
          <w:sz w:val="20"/>
        </w:rPr>
        <w:t xml:space="preserve"> is the law of the logged pair implied by the pools: a position drawn uniformly from each pool. The replays are served on the same public history as the logged move, and that history already carries whatever the channel did in earlier rounds, and </w:t>
      </w:r>
      <m:oMath>
        <m:acc>
          <m:accPr>
            <m:chr m:val="̅"/>
          </m:accPr>
          <m:e>
            <m:r>
              <m:t xml:space="preserve">P</m:t>
            </m:r>
          </m:e>
        </m:acc>
      </m:oMath>
      <w:r>
        <w:rPr>
          <w:sz w:val="20"/>
        </w:rPr>
        <w:t xml:space="preserve"> is a mixture that puts weight on </w:t>
      </w:r>
      <m:oMath>
        <m:r>
          <m:t xml:space="preserve">P</m:t>
        </m:r>
      </m:oMath>
      <w:r>
        <w:rPr>
          <w:sz w:val="20"/>
        </w:rPr>
        <w:t xml:space="preserve"> itself (the logged pair's own position); as KL is convex in its second argument,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The payoff shift must therefore be measured against the replay null.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and its growth rate is close to the divergence.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