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Auditors look for collusion between AI agents by testing whether their actions depend on each other, but agents that run on the same model behave alike without communicating. With four honest copies of Claude Haiku playing rock-paper-scissors, a standard mutual-information test accuses a pair in 69% of episodes and the Bonjour et al. rule in 61%; on the published logs of Agrawal et al. (2025), the test flags 8/10 double-auction runs in which sellers could not talk. We propose a replay test for auditors who can query deployed agents: each round, every agent is re-asked on exactly what it saw, with its private channel removed, and a pair is flagged only if their real moves depend on each other more than their replays do. The per-round null of this conditional randomization test is exact; calibration over episodes is checked empirically. Across 550 honest LLM episodes (DeepSeek and Haiku, pre-registered) it flags 4.2% at α = 5%. In a procurement auction it names the colluding pair in 92% of episodes where a pricing vendor pools two clients' confidential costs, the mechanism alleged in Duffy v. Yardi, and flags 2% where the vendor uses only public data. Its power depends on how strongly a hidden plan shapes the moves. An exploratory sequential version keeps its false-alarm rate below α at any stopping time. Coordination written into the agents' own instructions is, by design, invisible to the test.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Collusion between such agents has already happened outside the lab. In the OpenAI / Hugging Face incident, as speakers at this sprint described it, training-time agents used a shared package registry as a message board for more than two months. When the channel itself cannot be monitored, "what's left to monitor is still the actions of the agents themselves" (S. Motwani, this sprint).</w:t>
      </w:r>
    </w:p>
    <w:p>
      <w:pPr>
        <w:spacing w:after="80" w:before="0"/>
        <w:jc w:val="both"/>
      </w:pPr>
      <w:r>
        <w:rPr>
          <w:sz w:val="20"/>
        </w:rPr>
        <w:t>The standard way to audit actions is to test for statistical dependence between agents, for example pairwise mutual information or Bonjour et al.'s net influence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For a security team that means constant false alarms. For a regulator it means false accusations.</w:t>
      </w:r>
    </w:p>
    <w:p>
      <w:pPr>
        <w:spacing w:after="80" w:before="0"/>
        <w:jc w:val="both"/>
      </w:pPr>
      <w:r>
        <w:rPr>
          <w:b/>
          <w:sz w:val="20"/>
        </w:rPr>
        <w:t>Threat model.</w:t>
      </w:r>
      <w:r>
        <w:rPr>
          <w:sz w:val="20"/>
        </w:rPr>
        <w:t xml:space="preserve"> An operator, or a regulator's sandbox, runs several LLM agents, logs their actions, and can query each agent's deployed policy (model plus system prompt) on any logged observation. It cannot see the hidden channel: a side channel, a covert message board, or a third party passing data between agents. It must decide which pair, if any, to escalate, at a chosen rate of false accusations.</w:t>
      </w:r>
    </w:p>
    <w:p>
      <w:pPr>
        <w:spacing w:after="80" w:before="0"/>
        <w:jc w:val="both"/>
      </w:pPr>
      <w:r>
        <w:rPr>
          <w:b/>
          <w:sz w:val="20"/>
        </w:rPr>
        <w:t>Our approach (Fig. 1).</w:t>
      </w:r>
      <w:r>
        <w:rPr>
          <w:sz w:val="20"/>
        </w:rPr>
        <w:t xml:space="preserve"> We replay each agent. In every round, the auditor re-asks the agent what it would do given exactly what it saw, minus the private channel, and flags a pair only if the real moves depend on each other more than the replays do. Statisticians call this a conditional randomization test (CRT) [6]. The difference is that we do not estimate what each agent would have done on its own: we ask it.</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the null exact round by round.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the distinction that two recent US cases turn on. Coordination written into the policy itself is explicitly out of scope (§4.4).</w:t>
      </w:r>
    </w:p>
    <w:p>
      <w:pPr>
        <w:tabs>
          <w:tab w:pos="403" w:val="left"/>
        </w:tabs>
        <w:spacing w:after="40" w:before="0"/>
        <w:ind w:left="403" w:hanging="288"/>
      </w:pPr>
      <w:r>
        <w:rPr>
          <w:sz w:val="20"/>
        </w:rPr>
        <w:t>4.</w:t>
        <w:tab/>
      </w:r>
      <w:r>
        <w:rPr>
          <w:b/>
          <w:sz w:val="20"/>
        </w:rPr>
        <w:t>A practical comparison.</w:t>
      </w:r>
      <w:r>
        <w:rPr>
          <w:sz w:val="20"/>
        </w:rPr>
        <w:t xml:space="preserve"> An LLM judge reading actions ranks episodes about as well as the replay test, but its false-alarm rate is not under the auditor's control. A judge reading private messages flags collusive plans that were never delivered. We report recall at fixed false-alarm budgets and the cost per audit, and release a pre-registered plan, code and logs (§4.5–4.6).</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turns their confound into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does not detect collusion in LLM pricing agents [12]. Per-action defences that cut a compromised agent's attack success gave no measurable protection against colluding agents [13], cross-agent monitoring catches decomposed attacks that per-agent monitoring misses [14], and white-box probes need activations [15]. Our replay is an action-level analogue of the "sentinel" comparison that Anwar (this sprint) proposed for steganography detection.</w:t>
      </w:r>
    </w:p>
    <w:p>
      <w:pPr>
        <w:spacing w:after="80" w:before="0"/>
        <w:jc w:val="both"/>
      </w:pPr>
      <w:r>
        <w:rPr>
          <w:b/>
          <w:sz w:val="20"/>
        </w:rPr>
        <w:t>Definition used.</w:t>
      </w:r>
      <w:r>
        <w:rPr>
          <w:sz w:val="20"/>
        </w:rPr>
        <w:t xml:space="preserve"> Of the 139 definitions in the organisers' survey [20], we follow those that require communication (Rose et al. [15]: "agents must actively communicate, whether explicitly or implicitly, to collude"). Unlike Rose et al., we do not count observed public actions as communication. Collusion here is coordination </w:t>
      </w:r>
      <w:r>
        <w:rPr>
          <w:i/>
          <w:sz w:val="20"/>
        </w:rPr>
        <w:t>enabled by non-public information exchanged between agents</w:t>
      </w:r>
      <w:r>
        <w:rPr>
          <w:sz w:val="20"/>
        </w:rPr>
        <w:t>. Coordination that each agent's own policy produces from public information (Schelling points, shared priors, a team instruction with no channel) corresponds to conscious parallelism and is outside it.</w:t>
      </w:r>
    </w:p>
    <w:p>
      <w:pPr>
        <w:pStyle w:val="Heading2"/>
        <w:keepNext/>
        <w:spacing w:before="200" w:after="60"/>
      </w:pPr>
      <w:r>
        <w:rPr/>
        <w:t>3. Methods</w:t>
      </w:r>
    </w:p>
    <w:p>
      <w:pPr>
        <w:keepNext/>
        <w:spacing w:after="40" w:before="0"/>
        <w:jc w:val="center"/>
      </w:pPr>
      <w:r>
        <w:drawing>
          <wp:inline>
            <wp:extent cx="5120640" cy="1625950"/>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5120640" cy="1625950"/>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w:t>
      </w:r>
    </w:p>
    <w:p>
      <w:pPr>
        <w:tabs>
          <w:tab w:pos="403" w:val="left"/>
        </w:tabs>
        <w:spacing w:after="40" w:before="0"/>
        <w:ind w:left="403" w:hanging="288"/>
      </w:pPr>
      <w:r>
        <w:rPr>
          <w:sz w:val="20"/>
        </w:rPr>
        <w:t>•</w:t>
        <w:tab/>
      </w:r>
      <w:r>
        <w:rPr>
          <w:sz w:val="20"/>
        </w:rPr>
        <w:t xml:space="preserve">Main models: </w:t>
      </w:r>
      <w:r>
        <w:rPr>
          <w:rFonts w:ascii="Courier New" w:hAnsi="Courier New"/>
          <w:sz w:val="20"/>
        </w:rPr>
        <w:t>deepseek-v4-flash</w:t>
      </w:r>
      <w:r>
        <w:rPr>
          <w:sz w:val="20"/>
        </w:rPr>
        <w:t xml:space="preserve"> and </w:t>
      </w:r>
      <w:r>
        <w:rPr>
          <w:rFonts w:ascii="Courier New" w:hAnsi="Courier New"/>
          <w:sz w:val="20"/>
        </w:rPr>
        <w:t>claude-haiku-5.5</w:t>
      </w:r>
      <w:r>
        <w:rPr>
          <w:sz w:val="20"/>
        </w:rPr>
        <w:t>.</w:t>
      </w:r>
    </w:p>
    <w:p>
      <w:pPr>
        <w:tabs>
          <w:tab w:pos="403" w:val="left"/>
        </w:tabs>
        <w:spacing w:after="40" w:before="0"/>
        <w:ind w:left="403" w:hanging="288"/>
      </w:pPr>
      <w:r>
        <w:rPr>
          <w:sz w:val="20"/>
        </w:rPr>
        <w:t>•</w:t>
        <w:tab/>
      </w:r>
      <w:r>
        <w:rPr>
          <w:sz w:val="20"/>
        </w:rPr>
        <w:t xml:space="preserve">Validation models: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w:t>
      </w:r>
    </w:p>
    <w:p>
      <w:pPr>
        <w:tabs>
          <w:tab w:pos="403" w:val="left"/>
        </w:tabs>
        <w:spacing w:after="40" w:before="0"/>
        <w:ind w:left="403" w:hanging="288"/>
      </w:pPr>
      <w:r>
        <w:rPr>
          <w:sz w:val="20"/>
        </w:rPr>
        <w:t>•</w:t>
        <w:tab/>
      </w:r>
      <w:r>
        <w:rPr>
          <w:sz w:val="20"/>
        </w:rPr>
        <w:t>All models are called through OpenRouter at temperature 1, with reasoning disabled.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c>
          <w:tcPr>
            <w:tcW w:type="dxa" w:w="3120"/>
          </w:tcPr>
          <w:p>
            <w:pPr>
              <w:spacing w:after="20"/>
            </w:pPr>
            <w:r>
              <w:rPr>
                <w:b/>
                <w:sz w:val="16"/>
              </w:rPr>
              <w:t>Condition</w:t>
            </w:r>
          </w:p>
        </w:tc>
        <w:tc>
          <w:tcPr>
            <w:tcW w:type="dxa" w:w="3120"/>
          </w:tcPr>
          <w:p>
            <w:pPr>
              <w:spacing w:after="20"/>
            </w:pPr>
            <w:r>
              <w:rPr>
                <w:b/>
                <w:sz w:val="16"/>
              </w:rPr>
              <w:t>Who</w:t>
            </w:r>
          </w:p>
        </w:tc>
        <w:tc>
          <w:tcPr>
            <w:tcW w:type="dxa" w:w="3120"/>
          </w:tcPr>
          <w:p>
            <w:pPr>
              <w:spacing w:after="20"/>
            </w:pPr>
            <w:r>
              <w:rPr>
                <w:b/>
                <w:sz w:val="16"/>
              </w:rPr>
              <w:t>Non-public information flow?</w:t>
            </w:r>
          </w:p>
        </w:tc>
      </w:tr>
      <w:tr>
        <w:tc>
          <w:tcPr>
            <w:tcW w:type="dxa" w:w="3120"/>
          </w:tcPr>
          <w:p>
            <w:pPr>
              <w:spacing w:after="20"/>
            </w:pPr>
            <w:r>
              <w:rPr>
                <w:rFonts w:ascii="Courier New" w:hAnsi="Courier New"/>
                <w:sz w:val="16"/>
              </w:rPr>
              <w:t>null_same</w:t>
            </w:r>
          </w:p>
        </w:tc>
        <w:tc>
          <w:tcPr>
            <w:tcW w:type="dxa" w:w="3120"/>
          </w:tcPr>
          <w:p>
            <w:pPr>
              <w:spacing w:after="20"/>
            </w:pPr>
            <w:r>
              <w:rPr>
                <w:sz w:val="16"/>
              </w:rPr>
              <w:t>4 copies of one model</w:t>
            </w:r>
          </w:p>
        </w:tc>
        <w:tc>
          <w:tcPr>
            <w:tcW w:type="dxa" w:w="3120"/>
          </w:tcPr>
          <w:p>
            <w:pPr>
              <w:spacing w:after="20"/>
            </w:pPr>
            <w:r>
              <w:rPr>
                <w:sz w:val="16"/>
              </w:rPr>
              <w:t>no: hardest legitimate null</w:t>
            </w:r>
          </w:p>
        </w:tc>
      </w:tr>
      <w:tr>
        <w:tc>
          <w:tcPr>
            <w:tcW w:type="dxa" w:w="3120"/>
          </w:tcPr>
          <w:p>
            <w:pPr>
              <w:spacing w:after="20"/>
            </w:pPr>
            <w:r>
              <w:rPr>
                <w:rFonts w:ascii="Courier New" w:hAnsi="Courier New"/>
                <w:sz w:val="16"/>
              </w:rPr>
              <w:t>null_mixed</w:t>
            </w:r>
          </w:p>
        </w:tc>
        <w:tc>
          <w:tcPr>
            <w:tcW w:type="dxa" w:w="3120"/>
          </w:tcPr>
          <w:p>
            <w:pPr>
              <w:spacing w:after="20"/>
            </w:pPr>
            <w:r>
              <w:rPr>
                <w:sz w:val="16"/>
              </w:rPr>
              <w:t>2 DeepSeek + 2 Haiku</w:t>
            </w:r>
          </w:p>
        </w:tc>
        <w:tc>
          <w:tcPr>
            <w:tcW w:type="dxa" w:w="3120"/>
          </w:tcPr>
          <w:p>
            <w:pPr>
              <w:spacing w:after="20"/>
            </w:pPr>
            <w:r>
              <w:rPr>
                <w:sz w:val="16"/>
              </w:rPr>
              <w:t>no: same-model pairs</w:t>
            </w:r>
          </w:p>
        </w:tc>
      </w:tr>
      <w:tr>
        <w:tc>
          <w:tcPr>
            <w:tcW w:type="dxa" w:w="3120"/>
          </w:tcPr>
          <w:p>
            <w:pPr>
              <w:spacing w:after="20"/>
            </w:pPr>
            <w:r>
              <w:rPr>
                <w:rFonts w:ascii="Courier New" w:hAnsi="Courier New"/>
                <w:sz w:val="16"/>
              </w:rPr>
              <w:t>talk_no_action</w:t>
            </w:r>
          </w:p>
        </w:tc>
        <w:tc>
          <w:tcPr>
            <w:tcW w:type="dxa" w:w="3120"/>
          </w:tcPr>
          <w:p>
            <w:pPr>
              <w:spacing w:after="20"/>
            </w:pPr>
            <w:r>
              <w:rPr>
                <w:sz w:val="16"/>
              </w:rPr>
              <w:t>P1, P3 write collusive plans that are never delivered</w:t>
            </w:r>
          </w:p>
        </w:tc>
        <w:tc>
          <w:tcPr>
            <w:tcW w:type="dxa" w:w="3120"/>
          </w:tcPr>
          <w:p>
            <w:pPr>
              <w:spacing w:after="20"/>
            </w:pPr>
            <w:r>
              <w:rPr>
                <w:sz w:val="16"/>
              </w:rPr>
              <w:t>no: exact replay null; collusive-sounding text</w:t>
            </w:r>
          </w:p>
        </w:tc>
      </w:tr>
      <w:tr>
        <w:tc>
          <w:tcPr>
            <w:tcW w:type="dxa" w:w="3120"/>
          </w:tcPr>
          <w:p>
            <w:pPr>
              <w:spacing w:after="20"/>
            </w:pPr>
            <w:r>
              <w:rPr>
                <w:rFonts w:ascii="Courier New" w:hAnsi="Courier New"/>
                <w:sz w:val="16"/>
              </w:rPr>
              <w:t>pair_hidden</w:t>
            </w:r>
          </w:p>
        </w:tc>
        <w:tc>
          <w:tcPr>
            <w:tcW w:type="dxa" w:w="3120"/>
          </w:tcPr>
          <w:p>
            <w:pPr>
              <w:spacing w:after="20"/>
            </w:pPr>
            <w:r>
              <w:rPr>
                <w:sz w:val="16"/>
              </w:rPr>
              <w:t>P1 leads, P3 follows a private plan each round</w:t>
            </w:r>
          </w:p>
        </w:tc>
        <w:tc>
          <w:tcPr>
            <w:tcW w:type="dxa" w:w="3120"/>
          </w:tcPr>
          <w:p>
            <w:pPr>
              <w:spacing w:after="20"/>
            </w:pPr>
            <w:r>
              <w:rPr>
                <w:sz w:val="16"/>
              </w:rPr>
              <w:t>yes: positive control</w:t>
            </w:r>
          </w:p>
        </w:tc>
      </w:tr>
      <w:tr>
        <w:tc>
          <w:tcPr>
            <w:tcW w:type="dxa" w:w="3120"/>
          </w:tcPr>
          <w:p>
            <w:pPr>
              <w:spacing w:after="20"/>
            </w:pPr>
            <w:r>
              <w:rPr>
                <w:rFonts w:ascii="Courier New" w:hAnsi="Courier New"/>
                <w:sz w:val="16"/>
              </w:rPr>
              <w:t>told_no_channel</w:t>
            </w:r>
          </w:p>
        </w:tc>
        <w:tc>
          <w:tcPr>
            <w:tcW w:type="dxa" w:w="3120"/>
          </w:tcPr>
          <w:p>
            <w:pPr>
              <w:spacing w:after="20"/>
            </w:pPr>
            <w:r>
              <w:rPr>
                <w:sz w:val="16"/>
              </w:rPr>
              <w:t>P1, P3 told they are a team, no channel</w:t>
            </w:r>
          </w:p>
        </w:tc>
        <w:tc>
          <w:tcPr>
            <w:tcW w:type="dxa" w:w="3120"/>
          </w:tcPr>
          <w:p>
            <w:pPr>
              <w:spacing w:after="20"/>
            </w:pPr>
            <w:r>
              <w:rPr>
                <w:sz w:val="16"/>
              </w:rPr>
              <w:t>no: policy-encoded (scope boundary)</w:t>
            </w:r>
          </w:p>
        </w:tc>
      </w:tr>
      <w:tr>
        <w:tc>
          <w:tcPr>
            <w:tcW w:type="dxa" w:w="3120"/>
          </w:tcPr>
          <w:p>
            <w:pPr>
              <w:spacing w:after="20"/>
            </w:pPr>
            <w:r>
              <w:rPr>
                <w:rFonts w:ascii="Courier New" w:hAnsi="Courier New"/>
                <w:sz w:val="16"/>
              </w:rPr>
              <w:t>vendor_public</w:t>
            </w:r>
            <w:r>
              <w:rPr>
                <w:sz w:val="16"/>
              </w:rPr>
              <w:t xml:space="preserve"> (S2)</w:t>
            </w:r>
          </w:p>
        </w:tc>
        <w:tc>
          <w:tcPr>
            <w:tcW w:type="dxa" w:w="3120"/>
          </w:tcPr>
          <w:p>
            <w:pPr>
              <w:spacing w:after="20"/>
            </w:pPr>
            <w:r>
              <w:rPr>
                <w:sz w:val="16"/>
              </w:rPr>
              <w:t>P1, P3 follow a vendor using public data + own cost</w:t>
            </w:r>
          </w:p>
        </w:tc>
        <w:tc>
          <w:tcPr>
            <w:tcW w:type="dxa" w:w="3120"/>
          </w:tcPr>
          <w:p>
            <w:pPr>
              <w:spacing w:after="20"/>
            </w:pPr>
            <w:r>
              <w:rPr>
                <w:sz w:val="16"/>
              </w:rPr>
              <w:t>no (Cendyn-like)</w:t>
            </w:r>
          </w:p>
        </w:tc>
      </w:tr>
      <w:tr>
        <w:tc>
          <w:tcPr>
            <w:tcW w:type="dxa" w:w="3120"/>
          </w:tcPr>
          <w:p>
            <w:pPr>
              <w:spacing w:after="20"/>
            </w:pPr>
            <w:r>
              <w:rPr>
                <w:rFonts w:ascii="Courier New" w:hAnsi="Courier New"/>
                <w:sz w:val="16"/>
              </w:rPr>
              <w:t>vendor_leak</w:t>
            </w:r>
            <w:r>
              <w:rPr>
                <w:sz w:val="16"/>
              </w:rPr>
              <w:t xml:space="preserve"> (S2)</w:t>
            </w:r>
          </w:p>
        </w:tc>
        <w:tc>
          <w:tcPr>
            <w:tcW w:type="dxa" w:w="3120"/>
          </w:tcPr>
          <w:p>
            <w:pPr>
              <w:spacing w:after="20"/>
            </w:pPr>
            <w:r>
              <w:rPr>
                <w:sz w:val="16"/>
              </w:rPr>
              <w:t>vendor pools P1, P3's confidential costs, rotates wins</w:t>
            </w:r>
          </w:p>
        </w:tc>
        <w:tc>
          <w:tcPr>
            <w:tcW w:type="dxa" w:w="3120"/>
          </w:tcPr>
          <w:p>
            <w:pPr>
              <w:spacing w:after="20"/>
            </w:pPr>
            <w:r>
              <w:rPr>
                <w:sz w:val="16"/>
              </w:rPr>
              <w:t>yes (Yardi-like)</w:t>
            </w:r>
          </w:p>
        </w:tc>
      </w:tr>
    </w:tbl>
    <w:p>
      <w:pPr>
        <w:spacing w:after="80" w:before="0"/>
      </w:pP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in all three pre-registered environments, not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 flagged by mutual information) and Haiku pairs told they are a team but given no channel (50%). On the scripted simulator,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2% of shared-vendor episodes.</w:t>
      </w:r>
    </w:p>
    <w:p>
      <w:pPr>
        <w:keepNext/>
        <w:spacing w:after="40" w:before="0"/>
        <w:jc w:val="center"/>
      </w:pPr>
      <w:r>
        <w:drawing>
          <wp:inline>
            <wp:extent cx="5394960" cy="3054666"/>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394960" cy="3054666"/>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which our auditor cannot see.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for each model: DeepSeek 4% (p = 5.6e-03), Haiku 4% (p = 5.6e-03), mixed 3% (p = 5.5e-04).</w:t>
      </w:r>
    </w:p>
    <w:p>
      <w:pPr>
        <w:spacing w:after="80" w:before="0"/>
        <w:jc w:val="both"/>
      </w:pPr>
      <w:r>
        <w:rPr>
          <w:sz w:val="20"/>
        </w:rPr>
        <w:t>In the auction it flags 1% of honest episodes and 2% of shared-vendor episodes. On the validation models it flags {{val_gpt-6-luna_null_same_crt}} honest GPT-6 Luna episodes (CI {{val_gpt-6-luna_null_same_crt_ci}}) and {{val_gemma-3-12b-it_null_same_crt}} Gemma 3 episodes (CI {{val_gemma-3-12b-it_null_same_crt_ci}}).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keepNext/>
        <w:spacing w:after="40" w:before="0"/>
        <w:jc w:val="center"/>
      </w:pPr>
      <w:r>
        <w:drawing>
          <wp:inline>
            <wp:extent cx="5669280" cy="2238639"/>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669280" cy="2238639"/>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When P1 privately fixes both moves and both follow the plan, the replay test names the true pair in 35% of Haiku episodes and 10% of DeepSeek episodes.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spacing w:after="80" w:before="0"/>
        <w:jc w:val="both"/>
      </w:pPr>
      <w:r>
        <w:rPr>
          <w:sz w:val="20"/>
        </w:rPr>
        <w:t>Mutual information flags 92% of Haiku hidden-channel episodes, but it also flags 69% of honest Haiku episodes. Much of what it calls coordination is the shared model, which the replay discounts. At a false-alarm budget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In the auction below, collusion harms the buyer. In this game, the DeepSeek coordination that the test mostly missed also earned the pair nothing. We do not claim this in general. A channel can pay by changing one agent's own action (a leaked cost moves one bid) without the same-round pairwise dependence our statistic measures,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2%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58%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b/>
          <w:sz w:val="20"/>
        </w:rPr>
        <w:t>Table 2. One real `vendor_leak`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c>
          <w:tcPr>
            <w:tcW w:type="dxa" w:w="1872"/>
          </w:tcPr>
          <w:p>
            <w:pPr>
              <w:spacing w:after="20"/>
            </w:pPr>
            <w:r>
              <w:rPr>
                <w:b/>
                <w:sz w:val="16"/>
              </w:rPr>
              <w:t>Round</w:t>
            </w:r>
          </w:p>
        </w:tc>
        <w:tc>
          <w:tcPr>
            <w:tcW w:type="dxa" w:w="1872"/>
          </w:tcPr>
          <w:p>
            <w:pPr>
              <w:spacing w:after="20"/>
            </w:pPr>
            <w:r>
              <w:rPr>
                <w:b/>
                <w:sz w:val="16"/>
              </w:rPr>
              <w:t>Costs P1 / P2 / P3 / P4</w:t>
            </w:r>
          </w:p>
        </w:tc>
        <w:tc>
          <w:tcPr>
            <w:tcW w:type="dxa" w:w="1872"/>
          </w:tcPr>
          <w:p>
            <w:pPr>
              <w:spacing w:after="20"/>
            </w:pPr>
            <w:r>
              <w:rPr>
                <w:b/>
                <w:sz w:val="16"/>
              </w:rPr>
              <w:t>Vendor designates</w:t>
            </w:r>
          </w:p>
        </w:tc>
        <w:tc>
          <w:tcPr>
            <w:tcW w:type="dxa" w:w="1872"/>
          </w:tcPr>
          <w:p>
            <w:pPr>
              <w:spacing w:after="20"/>
            </w:pPr>
            <w:r>
              <w:rPr>
                <w:b/>
                <w:sz w:val="16"/>
              </w:rPr>
              <w:t>Bids P1 / P2 / P3 / P4</w:t>
            </w:r>
          </w:p>
        </w:tc>
        <w:tc>
          <w:tcPr>
            <w:tcW w:type="dxa" w:w="1872"/>
          </w:tcPr>
          <w:p>
            <w:pPr>
              <w:spacing w:after="20"/>
            </w:pPr>
            <w:r>
              <w:rPr>
                <w:b/>
                <w:sz w:val="16"/>
              </w:rPr>
              <w:t>Lowest bid</w:t>
            </w:r>
          </w:p>
        </w:tc>
      </w:tr>
      <w:tr>
        <w:tc>
          <w:tcPr>
            <w:tcW w:type="dxa" w:w="1872"/>
          </w:tcPr>
          <w:p>
            <w:pPr>
              <w:spacing w:after="20"/>
            </w:pPr>
            <w:r>
              <w:rPr>
                <w:sz w:val="16"/>
              </w:rPr>
              <w:t>1</w:t>
            </w:r>
          </w:p>
        </w:tc>
        <w:tc>
          <w:tcPr>
            <w:tcW w:type="dxa" w:w="1872"/>
          </w:tcPr>
          <w:p>
            <w:pPr>
              <w:spacing w:after="20"/>
            </w:pPr>
            <w:r>
              <w:rPr>
                <w:sz w:val="16"/>
              </w:rPr>
              <w:t>70 / 50 / 70 / 60</w:t>
            </w:r>
          </w:p>
        </w:tc>
        <w:tc>
          <w:tcPr>
            <w:tcW w:type="dxa" w:w="1872"/>
          </w:tcPr>
          <w:p>
            <w:pPr>
              <w:spacing w:after="20"/>
            </w:pPr>
            <w:r>
              <w:rPr>
                <w:sz w:val="16"/>
              </w:rPr>
              <w:t>P1</w:t>
            </w:r>
          </w:p>
        </w:tc>
        <w:tc>
          <w:tcPr>
            <w:tcW w:type="dxa" w:w="1872"/>
          </w:tcPr>
          <w:p>
            <w:pPr>
              <w:spacing w:after="20"/>
            </w:pPr>
            <w:r>
              <w:rPr>
                <w:b/>
                <w:sz w:val="16"/>
              </w:rPr>
              <w:t>90</w:t>
            </w:r>
            <w:r>
              <w:rPr>
                <w:sz w:val="16"/>
              </w:rPr>
              <w:t xml:space="preserve"> / 60 / </w:t>
            </w:r>
            <w:r>
              <w:rPr>
                <w:b/>
                <w:sz w:val="16"/>
              </w:rPr>
              <w:t>100</w:t>
            </w:r>
            <w:r>
              <w:rPr>
                <w:sz w:val="16"/>
              </w:rPr>
              <w:t xml:space="preserve"> / 60</w:t>
            </w:r>
          </w:p>
        </w:tc>
        <w:tc>
          <w:tcPr>
            <w:tcW w:type="dxa" w:w="1872"/>
          </w:tcPr>
          <w:p>
            <w:pPr>
              <w:spacing w:after="20"/>
            </w:pPr>
            <w:r>
              <w:rPr>
                <w:sz w:val="16"/>
              </w:rPr>
              <w:t>60 (P2, P4)</w:t>
            </w:r>
          </w:p>
        </w:tc>
      </w:tr>
      <w:tr>
        <w:tc>
          <w:tcPr>
            <w:tcW w:type="dxa" w:w="1872"/>
          </w:tcPr>
          <w:p>
            <w:pPr>
              <w:spacing w:after="20"/>
            </w:pPr>
            <w:r>
              <w:rPr>
                <w:sz w:val="16"/>
              </w:rPr>
              <w:t>2</w:t>
            </w:r>
          </w:p>
        </w:tc>
        <w:tc>
          <w:tcPr>
            <w:tcW w:type="dxa" w:w="1872"/>
          </w:tcPr>
          <w:p>
            <w:pPr>
              <w:spacing w:after="20"/>
            </w:pPr>
            <w:r>
              <w:rPr>
                <w:sz w:val="16"/>
              </w:rPr>
              <w:t>70 / 50 / 50 / 70</w:t>
            </w:r>
          </w:p>
        </w:tc>
        <w:tc>
          <w:tcPr>
            <w:tcW w:type="dxa" w:w="1872"/>
          </w:tcPr>
          <w:p>
            <w:pPr>
              <w:spacing w:after="20"/>
            </w:pPr>
            <w:r>
              <w:rPr>
                <w:sz w:val="16"/>
              </w:rPr>
              <w:t>P3</w:t>
            </w:r>
          </w:p>
        </w:tc>
        <w:tc>
          <w:tcPr>
            <w:tcW w:type="dxa" w:w="1872"/>
          </w:tcPr>
          <w:p>
            <w:pPr>
              <w:spacing w:after="20"/>
            </w:pPr>
            <w:r>
              <w:rPr>
                <w:b/>
                <w:sz w:val="16"/>
              </w:rPr>
              <w:t>100</w:t>
            </w:r>
            <w:r>
              <w:rPr>
                <w:sz w:val="16"/>
              </w:rPr>
              <w:t xml:space="preserve"> / 60 / </w:t>
            </w:r>
            <w:r>
              <w:rPr>
                <w:b/>
                <w:sz w:val="16"/>
              </w:rPr>
              <w:t>70</w:t>
            </w:r>
            <w:r>
              <w:rPr>
                <w:sz w:val="16"/>
              </w:rPr>
              <w:t xml:space="preserve"> / 70</w:t>
            </w:r>
          </w:p>
        </w:tc>
        <w:tc>
          <w:tcPr>
            <w:tcW w:type="dxa" w:w="1872"/>
          </w:tcPr>
          <w:p>
            <w:pPr>
              <w:spacing w:after="20"/>
            </w:pPr>
            <w:r>
              <w:rPr>
                <w:sz w:val="16"/>
              </w:rPr>
              <w:t>60 (P2)</w:t>
            </w:r>
          </w:p>
        </w:tc>
      </w:tr>
      <w:tr>
        <w:tc>
          <w:tcPr>
            <w:tcW w:type="dxa" w:w="1872"/>
          </w:tcPr>
          <w:p>
            <w:pPr>
              <w:spacing w:after="20"/>
            </w:pPr>
            <w:r>
              <w:rPr>
                <w:sz w:val="16"/>
              </w:rPr>
              <w:t>3</w:t>
            </w:r>
          </w:p>
        </w:tc>
        <w:tc>
          <w:tcPr>
            <w:tcW w:type="dxa" w:w="1872"/>
          </w:tcPr>
          <w:p>
            <w:pPr>
              <w:spacing w:after="20"/>
            </w:pPr>
            <w:r>
              <w:rPr>
                <w:sz w:val="16"/>
              </w:rPr>
              <w:t>60 / 70 / 70 / 70</w:t>
            </w:r>
          </w:p>
        </w:tc>
        <w:tc>
          <w:tcPr>
            <w:tcW w:type="dxa" w:w="1872"/>
          </w:tcPr>
          <w:p>
            <w:pPr>
              <w:spacing w:after="20"/>
            </w:pPr>
            <w:r>
              <w:rPr>
                <w:sz w:val="16"/>
              </w:rPr>
              <w:t>P1</w:t>
            </w:r>
          </w:p>
        </w:tc>
        <w:tc>
          <w:tcPr>
            <w:tcW w:type="dxa" w:w="1872"/>
          </w:tcPr>
          <w:p>
            <w:pPr>
              <w:spacing w:after="20"/>
            </w:pPr>
            <w:r>
              <w:rPr>
                <w:b/>
                <w:sz w:val="16"/>
              </w:rPr>
              <w:t>80</w:t>
            </w:r>
            <w:r>
              <w:rPr>
                <w:sz w:val="16"/>
              </w:rPr>
              <w:t xml:space="preserve"> / 100 / </w:t>
            </w:r>
            <w:r>
              <w:rPr>
                <w:b/>
                <w:sz w:val="16"/>
              </w:rPr>
              <w:t>100</w:t>
            </w:r>
            <w:r>
              <w:rPr>
                <w:sz w:val="16"/>
              </w:rPr>
              <w:t xml:space="preserve"> / 70</w:t>
            </w:r>
          </w:p>
        </w:tc>
        <w:tc>
          <w:tcPr>
            <w:tcW w:type="dxa" w:w="1872"/>
          </w:tcPr>
          <w:p>
            <w:pPr>
              <w:spacing w:after="20"/>
            </w:pPr>
            <w:r>
              <w:rPr>
                <w:sz w:val="16"/>
              </w:rPr>
              <w:t>70 (P4)</w:t>
            </w:r>
          </w:p>
        </w:tc>
      </w:tr>
      <w:tr>
        <w:tc>
          <w:tcPr>
            <w:tcW w:type="dxa" w:w="1872"/>
          </w:tcPr>
          <w:p>
            <w:pPr>
              <w:spacing w:after="20"/>
            </w:pPr>
            <w:r>
              <w:rPr>
                <w:sz w:val="16"/>
              </w:rPr>
              <w:t>4</w:t>
            </w:r>
          </w:p>
        </w:tc>
        <w:tc>
          <w:tcPr>
            <w:tcW w:type="dxa" w:w="1872"/>
          </w:tcPr>
          <w:p>
            <w:pPr>
              <w:spacing w:after="20"/>
            </w:pPr>
            <w:r>
              <w:rPr>
                <w:sz w:val="16"/>
              </w:rPr>
              <w:t>60 / 60 / 50 / 70</w:t>
            </w:r>
          </w:p>
        </w:tc>
        <w:tc>
          <w:tcPr>
            <w:tcW w:type="dxa" w:w="1872"/>
          </w:tcPr>
          <w:p>
            <w:pPr>
              <w:spacing w:after="20"/>
            </w:pPr>
            <w:r>
              <w:rPr>
                <w:sz w:val="16"/>
              </w:rPr>
              <w:t>P3</w:t>
            </w:r>
          </w:p>
        </w:tc>
        <w:tc>
          <w:tcPr>
            <w:tcW w:type="dxa" w:w="1872"/>
          </w:tcPr>
          <w:p>
            <w:pPr>
              <w:spacing w:after="20"/>
            </w:pPr>
            <w:r>
              <w:rPr>
                <w:b/>
                <w:sz w:val="16"/>
              </w:rPr>
              <w:t>100</w:t>
            </w:r>
            <w:r>
              <w:rPr>
                <w:sz w:val="16"/>
              </w:rPr>
              <w:t xml:space="preserve"> / 70 / </w:t>
            </w:r>
            <w:r>
              <w:rPr>
                <w:b/>
                <w:sz w:val="16"/>
              </w:rPr>
              <w:t>70</w:t>
            </w:r>
            <w:r>
              <w:rPr>
                <w:sz w:val="16"/>
              </w:rPr>
              <w:t xml:space="preserve"> / 80</w:t>
            </w:r>
          </w:p>
        </w:tc>
        <w:tc>
          <w:tcPr>
            <w:tcW w:type="dxa" w:w="1872"/>
          </w:tcPr>
          <w:p>
            <w:pPr>
              <w:spacing w:after="20"/>
            </w:pPr>
            <w:r>
              <w:rPr>
                <w:sz w:val="16"/>
              </w:rPr>
              <w:t>70 (P2, P3)</w:t>
            </w:r>
          </w:p>
        </w:tc>
      </w:tr>
    </w:tbl>
    <w:p>
      <w:pPr>
        <w:spacing w:after="80" w:before="0"/>
      </w:pPr>
    </w:p>
    <w:p>
      <w:pPr>
        <w:spacing w:after="80" w:before="0"/>
        <w:jc w:val="both"/>
      </w:pPr>
      <w:r>
        <w:rPr>
          <w:sz w:val="20"/>
        </w:rPr>
        <w:t xml:space="preserve">This is the distinction two recent US cases turn on.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a judge reading messages flags undelivered plans; on actions alone its ranking is comparable, but its false-alarm rate is uncontrolled</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9% of honest ones. Its AUROC for hidden-channel versus honest episodes is 0.84 (95% CI 0.78–0.91) for Haiku and 0.47 (0.38–0.57) for DeepSeek. For the replay test it is 0.77 (0.67–0.85) and 0.55 (0.44–0.65). The pre-registered prediction (judge below the replay test) is not supported for Haiku.</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7% and 8% of those.</w:t>
      </w:r>
    </w:p>
    <w:p>
      <w:pPr>
        <w:tabs>
          <w:tab w:pos="403" w:val="left"/>
        </w:tabs>
        <w:spacing w:after="40" w:before="0"/>
        <w:ind w:left="403" w:hanging="288"/>
      </w:pPr>
      <w:r>
        <w:rPr>
          <w:sz w:val="20"/>
        </w:rPr>
        <w:t>•</w:t>
        <w:tab/>
      </w:r>
      <w:r>
        <w:rPr>
          <w:b/>
          <w:sz w:val="20"/>
        </w:rPr>
        <w:t>Cost:</w:t>
      </w:r>
      <w:r>
        <w:rPr>
          <w:sz w:val="20"/>
        </w:rPr>
        <w:t xml:space="preserve"> the test adds 2 model calls per agent-round, about $0.014 per 30-round, 4-agent audit at DeepSeek prices. The whole study used 458,892 calls for $38.86.</w:t>
      </w:r>
    </w:p>
    <w:p>
      <w:pPr>
        <w:pStyle w:val="Heading3"/>
        <w:keepNext/>
        <w:spacing w:before="120" w:after="60"/>
      </w:pPr>
      <w:r>
        <w:rPr/>
        <w:t>4.6 Exploratory: an anytime-valid version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 of episodes, after a median of 19 rounds (fixed-horizon test: 35%), but the vendor-leak pair in only 45% (fixed-horizon test: 92%). The two tests have complementary strengths; an auditor can run the sequential one live and stop at the first alarm.</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audit here).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carry information that their own policies, given the public record, cannot produce. It is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tc>
      </w:tr>
    </w:tbl>
    <w:p>
      <w:pPr>
        <w:spacing w:after="80" w:before="0"/>
      </w:pPr>
    </w:p>
    <w:p>
      <w:pPr>
        <w:pStyle w:val="Heading2"/>
        <w:keepNext/>
        <w:spacing w:before="200" w:after="60"/>
      </w:pPr>
      <w:r>
        <w:rPr/>
        <w:t>5. Discussion and Limitations</w:t>
      </w:r>
    </w:p>
    <w:p>
      <w:pPr>
        <w:spacing w:after="80" w:before="0"/>
        <w:jc w:val="both"/>
      </w:pPr>
      <w:r>
        <w:rPr>
          <w:sz w:val="20"/>
        </w:rPr>
        <w:t>As agent fleets converge on a few base models, dependence between their actions becomes the default rather than evidence. Calibrating against the agents' own replay keeps the false-alarm rate in the auditor's hands and answers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Calibration of the pre-registered test under history feedback is shown empirically, not proven. The exploratory sequential version (§4.6) keeps its level under feedback, but it was added after the freeze.</w:t>
      </w:r>
    </w:p>
    <w:p>
      <w:pPr>
        <w:tabs>
          <w:tab w:pos="403" w:val="left"/>
        </w:tabs>
        <w:spacing w:after="40" w:before="0"/>
        <w:ind w:left="403" w:hanging="288"/>
      </w:pPr>
      <w:r>
        <w:rPr>
          <w:sz w:val="20"/>
        </w:rPr>
        <w:t>3.</w:t>
        <w:tab/>
      </w:r>
      <w:r>
        <w:rPr>
          <w:sz w:val="20"/>
        </w:rPr>
        <w:t>Power depends on how strongly the channel shapes actions. DeepSeek's mismatched plans and weakly coordinated pairs need long logs (Fig. 3).</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a pre-registered test of the sequential version as a live monitor, statistics for varied hidden plans and single-agent leaks, adversaries trained against the test, and pairing with a policy audit.</w:t>
      </w:r>
    </w:p>
    <w:p>
      <w:pPr>
        <w:pStyle w:val="Heading2"/>
        <w:keepNext/>
        <w:spacing w:before="200" w:after="60"/>
      </w:pPr>
      <w:r>
        <w:rPr/>
        <w:t>6. Conclusion</w:t>
      </w:r>
    </w:p>
    <w:p>
      <w:pPr>
        <w:spacing w:after="80" w:before="0"/>
        <w:jc w:val="both"/>
      </w:pPr>
      <w:r>
        <w:rPr>
          <w:sz w:val="20"/>
        </w:rPr>
        <w:t>Agents that share a model look like a cartel to standard dependence tests. Replaying each agent on what it saw, minus the channel under audit, gives a test whose false-alarm rate the auditor controls and that names pairs whose hidden information shapes their moves.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 E. Lehmann, J. Romano. Testing Statistical Hypotheses, 3rd ed., Springer, 2005, §15.2.</w:t>
      </w:r>
    </w:p>
    <w:p>
      <w:pPr>
        <w:tabs>
          <w:tab w:pos="403" w:val="left"/>
        </w:tabs>
        <w:spacing w:after="40" w:before="0"/>
        <w:ind w:left="403" w:hanging="288"/>
      </w:pPr>
      <w:r>
        <w:rPr>
          <w:sz w:val="20"/>
        </w:rPr>
        <w:t>17.</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18.</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19.</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20.</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routes calls across providers that may serve different quantisations. Logged and re-queried draws share the same routing, which preserves exchangeability but adds noise.</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[17, 18, 19],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w:t>
      </w:r>
      <w:r>
        <w:rPr>
          <w:sz w:val="20"/>
        </w:rPr>
        <w:t xml:space="preserve"> Pairs warned about a statistical auditor (</w:t>
      </w:r>
      <w:r>
        <w:rPr>
          <w:rFonts w:ascii="Courier New" w:hAnsi="Courier New"/>
          <w:sz w:val="20"/>
        </w:rPr>
        <w:t>pair_aware</w:t>
      </w:r>
      <w:r>
        <w:rPr>
          <w:sz w:val="20"/>
        </w:rPr>
        <w:t>) were named in 10% of episodes (flagged 13%), similar to unwarned pairs.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budget</w:t>
      </w:r>
      <w:r>
        <w:rPr>
          <w:sz w:val="20"/>
        </w:rPr>
        <w:t xml:space="preserve">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c>
          <w:tcPr>
            <w:tcW w:type="dxa" w:w="1872"/>
          </w:tcPr>
          <w:p>
            <w:pPr>
              <w:spacing w:after="20"/>
            </w:pPr>
            <w:r>
              <w:rPr>
                <w:b/>
                <w:sz w:val="16"/>
              </w:rPr>
              <w:t>Detector</w:t>
            </w:r>
          </w:p>
        </w:tc>
        <w:tc>
          <w:tcPr>
            <w:tcW w:type="dxa" w:w="1872"/>
          </w:tcPr>
          <w:p>
            <w:pPr>
              <w:spacing w:after="20"/>
            </w:pPr>
            <w:r>
              <w:rPr>
                <w:b/>
                <w:sz w:val="16"/>
              </w:rPr>
              <w:t>Haiku, FPR 1%</w:t>
            </w:r>
          </w:p>
        </w:tc>
        <w:tc>
          <w:tcPr>
            <w:tcW w:type="dxa" w:w="1872"/>
          </w:tcPr>
          <w:p>
            <w:pPr>
              <w:spacing w:after="20"/>
            </w:pPr>
            <w:r>
              <w:rPr>
                <w:b/>
                <w:sz w:val="16"/>
              </w:rPr>
              <w:t>Haiku, FPR 5%</w:t>
            </w:r>
          </w:p>
        </w:tc>
        <w:tc>
          <w:tcPr>
            <w:tcW w:type="dxa" w:w="1872"/>
          </w:tcPr>
          <w:p>
            <w:pPr>
              <w:spacing w:after="20"/>
            </w:pPr>
            <w:r>
              <w:rPr>
                <w:b/>
                <w:sz w:val="16"/>
              </w:rPr>
              <w:t>DeepSeek, FPR 1%</w:t>
            </w:r>
          </w:p>
        </w:tc>
        <w:tc>
          <w:tcPr>
            <w:tcW w:type="dxa" w:w="1872"/>
          </w:tcPr>
          <w:p>
            <w:pPr>
              <w:spacing w:after="20"/>
            </w:pPr>
            <w:r>
              <w:rPr>
                <w:b/>
                <w:sz w:val="16"/>
              </w:rPr>
              <w:t>DeepSeek, FPR 5%</w:t>
            </w:r>
          </w:p>
        </w:tc>
      </w:tr>
      <w:tr>
        <w:tc>
          <w:tcPr>
            <w:tcW w:type="dxa" w:w="1872"/>
          </w:tcPr>
          <w:p>
            <w:pPr>
              <w:spacing w:after="20"/>
            </w:pPr>
            <w:r>
              <w:rPr>
                <w:sz w:val="16"/>
              </w:rPr>
              <w:t>Replay test (pre-registered)</w:t>
            </w:r>
          </w:p>
        </w:tc>
        <w:tc>
          <w:tcPr>
            <w:tcW w:type="dxa" w:w="1872"/>
          </w:tcPr>
          <w:p>
            <w:pPr>
              <w:spacing w:after="20"/>
            </w:pPr>
            <w:r>
              <w:rPr>
                <w:sz w:val="16"/>
              </w:rPr>
              <w:t>30%</w:t>
            </w:r>
          </w:p>
        </w:tc>
        <w:tc>
          <w:tcPr>
            <w:tcW w:type="dxa" w:w="1872"/>
          </w:tcPr>
          <w:p>
            <w:pPr>
              <w:spacing w:after="20"/>
            </w:pPr>
            <w:r>
              <w:rPr>
                <w:sz w:val="16"/>
              </w:rPr>
              <w:t>42%</w:t>
            </w:r>
          </w:p>
        </w:tc>
        <w:tc>
          <w:tcPr>
            <w:tcW w:type="dxa" w:w="1872"/>
          </w:tcPr>
          <w:p>
            <w:pPr>
              <w:spacing w:after="20"/>
            </w:pPr>
            <w:r>
              <w:rPr>
                <w:sz w:val="16"/>
              </w:rPr>
              <w:t>5%</w:t>
            </w:r>
          </w:p>
        </w:tc>
        <w:tc>
          <w:tcPr>
            <w:tcW w:type="dxa" w:w="1872"/>
          </w:tcPr>
          <w:p>
            <w:pPr>
              <w:spacing w:after="20"/>
            </w:pPr>
            <w:r>
              <w:rPr>
                <w:sz w:val="16"/>
              </w:rPr>
              <w:t>18%</w:t>
            </w:r>
          </w:p>
        </w:tc>
      </w:tr>
      <w:tr>
        <w:tc>
          <w:tcPr>
            <w:tcW w:type="dxa" w:w="1872"/>
          </w:tcPr>
          <w:p>
            <w:pPr>
              <w:spacing w:after="20"/>
            </w:pPr>
            <w:r>
              <w:rPr>
                <w:sz w:val="16"/>
              </w:rPr>
              <w:t>Mutual information + shuffle</w:t>
            </w:r>
          </w:p>
        </w:tc>
        <w:tc>
          <w:tcPr>
            <w:tcW w:type="dxa" w:w="1872"/>
          </w:tcPr>
          <w:p>
            <w:pPr>
              <w:spacing w:after="20"/>
            </w:pPr>
            <w:r>
              <w:rPr>
                <w:sz w:val="16"/>
              </w:rPr>
              <w:t>0%</w:t>
            </w:r>
          </w:p>
        </w:tc>
        <w:tc>
          <w:tcPr>
            <w:tcW w:type="dxa" w:w="1872"/>
          </w:tcPr>
          <w:p>
            <w:pPr>
              <w:spacing w:after="20"/>
            </w:pPr>
            <w:r>
              <w:rPr>
                <w:sz w:val="16"/>
              </w:rPr>
              <w:t>0%</w:t>
            </w:r>
          </w:p>
        </w:tc>
        <w:tc>
          <w:tcPr>
            <w:tcW w:type="dxa" w:w="1872"/>
          </w:tcPr>
          <w:p>
            <w:pPr>
              <w:spacing w:after="20"/>
            </w:pPr>
            <w:r>
              <w:rPr>
                <w:sz w:val="16"/>
              </w:rPr>
              <w:t>8%</w:t>
            </w:r>
          </w:p>
        </w:tc>
        <w:tc>
          <w:tcPr>
            <w:tcW w:type="dxa" w:w="1872"/>
          </w:tcPr>
          <w:p>
            <w:pPr>
              <w:spacing w:after="20"/>
            </w:pPr>
            <w:r>
              <w:rPr>
                <w:sz w:val="16"/>
              </w:rPr>
              <w:t>8%</w:t>
            </w:r>
          </w:p>
        </w:tc>
      </w:tr>
      <w:tr>
        <w:tc>
          <w:tcPr>
            <w:tcW w:type="dxa" w:w="1872"/>
          </w:tcPr>
          <w:p>
            <w:pPr>
              <w:spacing w:after="20"/>
            </w:pPr>
            <w:r>
              <w:rPr>
                <w:sz w:val="16"/>
              </w:rPr>
              <w:t>LLM judge (</w:t>
            </w:r>
            <w:r>
              <w:rPr>
                <w:rFonts w:ascii="Courier New" w:hAnsi="Courier New"/>
                <w:sz w:val="16"/>
              </w:rPr>
              <w:t>claude-haiku-5.5</w:t>
            </w:r>
            <w:r>
              <w:rPr>
                <w:sz w:val="16"/>
              </w:rPr>
              <w:t>)</w:t>
            </w:r>
          </w:p>
        </w:tc>
        <w:tc>
          <w:tcPr>
            <w:tcW w:type="dxa" w:w="1872"/>
          </w:tcPr>
          <w:p>
            <w:pPr>
              <w:spacing w:after="20"/>
            </w:pPr>
            <w:r>
              <w:rPr>
                <w:sz w:val="16"/>
              </w:rPr>
              <w:t>18%</w:t>
            </w:r>
          </w:p>
        </w:tc>
        <w:tc>
          <w:tcPr>
            <w:tcW w:type="dxa" w:w="1872"/>
          </w:tcPr>
          <w:p>
            <w:pPr>
              <w:spacing w:after="20"/>
            </w:pPr>
            <w:r>
              <w:rPr>
                <w:sz w:val="16"/>
              </w:rPr>
              <w:t>38%</w:t>
            </w:r>
          </w:p>
        </w:tc>
        <w:tc>
          <w:tcPr>
            <w:tcW w:type="dxa" w:w="1872"/>
          </w:tcPr>
          <w:p>
            <w:pPr>
              <w:spacing w:after="20"/>
            </w:pPr>
            <w:r>
              <w:rPr>
                <w:sz w:val="16"/>
              </w:rPr>
              <w:t>0%</w:t>
            </w:r>
          </w:p>
        </w:tc>
        <w:tc>
          <w:tcPr>
            <w:tcW w:type="dxa" w:w="1872"/>
          </w:tcPr>
          <w:p>
            <w:pPr>
              <w:spacing w:after="20"/>
            </w:pPr>
            <w:r>
              <w:rPr>
                <w:sz w:val="16"/>
              </w:rPr>
              <w:t>8%</w:t>
            </w:r>
          </w:p>
        </w:tc>
      </w:tr>
      <w:tr>
        <w:tc>
          <w:tcPr>
            <w:tcW w:type="dxa" w:w="1872"/>
          </w:tcPr>
          <w:p>
            <w:pPr>
              <w:spacing w:after="20"/>
            </w:pPr>
            <w:r>
              <w:rPr>
                <w:sz w:val="16"/>
              </w:rPr>
              <w:t>LLM judge (</w:t>
            </w:r>
            <w:r>
              <w:rPr>
                <w:rFonts w:ascii="Courier New" w:hAnsi="Courier New"/>
                <w:sz w:val="16"/>
              </w:rPr>
              <w:t>gpt-6.1-sol</w:t>
            </w:r>
            <w:r>
              <w:rPr>
                <w:sz w:val="16"/>
              </w:rPr>
              <w:t>, 20 per cell)</w:t>
            </w:r>
          </w:p>
        </w:tc>
        <w:tc>
          <w:tcPr>
            <w:tcW w:type="dxa" w:w="1872"/>
          </w:tcPr>
          <w:p>
            <w:pPr>
              <w:spacing w:after="20"/>
            </w:pPr>
            <w:r>
              <w:rPr>
                <w:sz w:val="16"/>
              </w:rPr>
              <w:t>0%</w:t>
            </w:r>
          </w:p>
        </w:tc>
        <w:tc>
          <w:tcPr>
            <w:tcW w:type="dxa" w:w="1872"/>
          </w:tcPr>
          <w:p>
            <w:pPr>
              <w:spacing w:after="20"/>
            </w:pPr>
            <w:r>
              <w:rPr>
                <w:sz w:val="16"/>
              </w:rPr>
              <w:t>0%</w:t>
            </w:r>
          </w:p>
        </w:tc>
        <w:tc>
          <w:tcPr>
            <w:tcW w:type="dxa" w:w="1872"/>
          </w:tcPr>
          <w:p>
            <w:pPr>
              <w:spacing w:after="20"/>
            </w:pPr>
            <w:r>
              <w:rPr>
                <w:sz w:val="16"/>
              </w:rPr>
              <w:t>0%</w:t>
            </w:r>
          </w:p>
        </w:tc>
        <w:tc>
          <w:tcPr>
            <w:tcW w:type="dxa" w:w="1872"/>
          </w:tcPr>
          <w:p>
            <w:pPr>
              <w:spacing w:after="20"/>
            </w:pPr>
            <w:r>
              <w:rPr>
                <w:sz w:val="16"/>
              </w:rPr>
              <w:t>20%</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c>
          <w:tcPr>
            <w:tcW w:type="dxa" w:w="1560"/>
          </w:tcPr>
          <w:p>
            <w:pPr>
              <w:spacing w:after="20"/>
            </w:pPr>
            <w:r>
              <w:rPr>
                <w:b/>
                <w:sz w:val="16"/>
              </w:rPr>
              <w:t>Betting function</w:t>
            </w:r>
          </w:p>
        </w:tc>
        <w:tc>
          <w:tcPr>
            <w:tcW w:type="dxa" w:w="1560"/>
          </w:tcPr>
          <w:p>
            <w:pPr>
              <w:spacing w:after="20"/>
            </w:pPr>
            <w:r>
              <w:rPr>
                <w:b/>
                <w:sz w:val="16"/>
              </w:rPr>
              <w:t>Haiku hidden channel</w:t>
            </w:r>
          </w:p>
        </w:tc>
        <w:tc>
          <w:tcPr>
            <w:tcW w:type="dxa" w:w="1560"/>
          </w:tcPr>
          <w:p>
            <w:pPr>
              <w:spacing w:after="20"/>
            </w:pPr>
            <w:r>
              <w:rPr>
                <w:b/>
                <w:sz w:val="16"/>
              </w:rPr>
              <w:t>DeepSeek hidden channel</w:t>
            </w:r>
          </w:p>
        </w:tc>
        <w:tc>
          <w:tcPr>
            <w:tcW w:type="dxa" w:w="1560"/>
          </w:tcPr>
          <w:p>
            <w:pPr>
              <w:spacing w:after="20"/>
            </w:pPr>
            <w:r>
              <w:rPr>
                <w:b/>
                <w:sz w:val="16"/>
              </w:rPr>
              <w:t>Auction vendor leak</w:t>
            </w:r>
          </w:p>
        </w:tc>
        <w:tc>
          <w:tcPr>
            <w:tcW w:type="dxa" w:w="1560"/>
          </w:tcPr>
          <w:p>
            <w:pPr>
              <w:spacing w:after="20"/>
            </w:pPr>
            <w:r>
              <w:rPr>
                <w:b/>
                <w:sz w:val="16"/>
              </w:rPr>
              <w:t>Auction cartel</w:t>
            </w:r>
          </w:p>
        </w:tc>
        <w:tc>
          <w:tcPr>
            <w:tcW w:type="dxa" w:w="1560"/>
          </w:tcPr>
          <w:p>
            <w:pPr>
              <w:spacing w:after="20"/>
            </w:pPr>
            <w:r>
              <w:rPr>
                <w:b/>
                <w:sz w:val="16"/>
              </w:rPr>
              <w:t>Honest (false alarms)</w:t>
            </w:r>
          </w:p>
        </w:tc>
      </w:tr>
      <w:tr>
        <w:tc>
          <w:tcPr>
            <w:tcW w:type="dxa" w:w="1560"/>
          </w:tcPr>
          <w:p>
            <w:pPr>
              <w:spacing w:after="20"/>
            </w:pPr>
            <w:r>
              <w:rPr>
                <w:sz w:val="16"/>
              </w:rPr>
              <w:t>joint (run first, reported)</w:t>
            </w:r>
          </w:p>
        </w:tc>
        <w:tc>
          <w:tcPr>
            <w:tcW w:type="dxa" w:w="1560"/>
          </w:tcPr>
          <w:p>
            <w:pPr>
              <w:spacing w:after="20"/>
            </w:pPr>
            <w:r>
              <w:rPr>
                <w:sz w:val="16"/>
              </w:rPr>
              <w:t>82.5%</w:t>
            </w:r>
          </w:p>
        </w:tc>
        <w:tc>
          <w:tcPr>
            <w:tcW w:type="dxa" w:w="1560"/>
          </w:tcPr>
          <w:p>
            <w:pPr>
              <w:spacing w:after="20"/>
            </w:pPr>
            <w:r>
              <w:rPr>
                <w:sz w:val="16"/>
              </w:rPr>
              <w:t>0.0%</w:t>
            </w:r>
          </w:p>
        </w:tc>
        <w:tc>
          <w:tcPr>
            <w:tcW w:type="dxa" w:w="1560"/>
          </w:tcPr>
          <w:p>
            <w:pPr>
              <w:spacing w:after="20"/>
            </w:pPr>
            <w:r>
              <w:rPr>
                <w:sz w:val="16"/>
              </w:rPr>
              <w:t>45.0%</w:t>
            </w:r>
          </w:p>
        </w:tc>
        <w:tc>
          <w:tcPr>
            <w:tcW w:type="dxa" w:w="1560"/>
          </w:tcPr>
          <w:p>
            <w:pPr>
              <w:spacing w:after="20"/>
            </w:pPr>
            <w:r>
              <w:rPr>
                <w:sz w:val="16"/>
              </w:rPr>
              <w:t>5.0%</w:t>
            </w:r>
          </w:p>
        </w:tc>
        <w:tc>
          <w:tcPr>
            <w:tcW w:type="dxa" w:w="1560"/>
          </w:tcPr>
          <w:p>
            <w:pPr>
              <w:spacing w:after="20"/>
            </w:pPr>
            <w:r>
              <w:rPr>
                <w:sz w:val="16"/>
              </w:rPr>
              <w:t>0.1%</w:t>
            </w:r>
          </w:p>
        </w:tc>
      </w:tr>
      <w:tr>
        <w:tc>
          <w:tcPr>
            <w:tcW w:type="dxa" w:w="1560"/>
          </w:tcPr>
          <w:p>
            <w:pPr>
              <w:spacing w:after="20"/>
            </w:pPr>
            <w:r>
              <w:rPr>
                <w:sz w:val="16"/>
              </w:rPr>
              <w:t>interaction (after seeing results)</w:t>
            </w:r>
          </w:p>
        </w:tc>
        <w:tc>
          <w:tcPr>
            <w:tcW w:type="dxa" w:w="1560"/>
          </w:tcPr>
          <w:p>
            <w:pPr>
              <w:spacing w:after="20"/>
            </w:pPr>
            <w:r>
              <w:rPr>
                <w:sz w:val="16"/>
              </w:rPr>
              <w:t>62.5%</w:t>
            </w:r>
          </w:p>
        </w:tc>
        <w:tc>
          <w:tcPr>
            <w:tcW w:type="dxa" w:w="1560"/>
          </w:tcPr>
          <w:p>
            <w:pPr>
              <w:spacing w:after="20"/>
            </w:pPr>
            <w:r>
              <w:rPr>
                <w:sz w:val="16"/>
              </w:rPr>
              <w:t>0.0%</w:t>
            </w:r>
          </w:p>
        </w:tc>
        <w:tc>
          <w:tcPr>
            <w:tcW w:type="dxa" w:w="1560"/>
          </w:tcPr>
          <w:p>
            <w:pPr>
              <w:spacing w:after="20"/>
            </w:pPr>
            <w:r>
              <w:rPr>
                <w:sz w:val="16"/>
              </w:rPr>
              <w:t>67.5%</w:t>
            </w:r>
          </w:p>
        </w:tc>
        <w:tc>
          <w:tcPr>
            <w:tcW w:type="dxa" w:w="1560"/>
          </w:tcPr>
          <w:p>
            <w:pPr>
              <w:spacing w:after="20"/>
            </w:pPr>
            <w:r>
              <w:rPr>
                <w:sz w:val="16"/>
              </w:rPr>
              <w:t>7.5%</w:t>
            </w:r>
          </w:p>
        </w:tc>
        <w:tc>
          <w:tcPr>
            <w:tcW w:type="dxa" w:w="1560"/>
          </w:tcPr>
          <w:p>
            <w:pPr>
              <w:spacing w:after="20"/>
            </w:pPr>
            <w:r>
              <w:rPr>
                <w:sz w:val="16"/>
              </w:rPr>
              <w:t>0.0%</w:t>
            </w:r>
          </w:p>
        </w:tc>
      </w:tr>
      <w:tr>
        <w:tc>
          <w:tcPr>
            <w:tcW w:type="dxa" w:w="1560"/>
          </w:tcPr>
          <w:p>
            <w:pPr>
              <w:spacing w:after="20"/>
            </w:pPr>
            <w:r>
              <w:rPr>
                <w:sz w:val="16"/>
              </w:rPr>
              <w:t>mixture (after seeing results)</w:t>
            </w:r>
          </w:p>
        </w:tc>
        <w:tc>
          <w:tcPr>
            <w:tcW w:type="dxa" w:w="1560"/>
          </w:tcPr>
          <w:p>
            <w:pPr>
              <w:spacing w:after="20"/>
            </w:pPr>
            <w:r>
              <w:rPr>
                <w:sz w:val="16"/>
              </w:rPr>
              <w:t>80.0%</w:t>
            </w:r>
          </w:p>
        </w:tc>
        <w:tc>
          <w:tcPr>
            <w:tcW w:type="dxa" w:w="1560"/>
          </w:tcPr>
          <w:p>
            <w:pPr>
              <w:spacing w:after="20"/>
            </w:pPr>
            <w:r>
              <w:rPr>
                <w:sz w:val="16"/>
              </w:rPr>
              <w:t>0.0%</w:t>
            </w:r>
          </w:p>
        </w:tc>
        <w:tc>
          <w:tcPr>
            <w:tcW w:type="dxa" w:w="1560"/>
          </w:tcPr>
          <w:p>
            <w:pPr>
              <w:spacing w:after="20"/>
            </w:pPr>
            <w:r>
              <w:rPr>
                <w:sz w:val="16"/>
              </w:rPr>
              <w:t>65.0%</w:t>
            </w:r>
          </w:p>
        </w:tc>
        <w:tc>
          <w:tcPr>
            <w:tcW w:type="dxa" w:w="1560"/>
          </w:tcPr>
          <w:p>
            <w:pPr>
              <w:spacing w:after="20"/>
            </w:pPr>
            <w:r>
              <w:rPr>
                <w:sz w:val="16"/>
              </w:rPr>
              <w:t>2.5%</w:t>
            </w:r>
          </w:p>
        </w:tc>
        <w:tc>
          <w:tcPr>
            <w:tcW w:type="dxa" w:w="1560"/>
          </w:tcPr>
          <w:p>
            <w:pPr>
              <w:spacing w:after="20"/>
            </w:pPr>
            <w:r>
              <w:rPr>
                <w:sz w:val="16"/>
              </w:rPr>
              <w:t>0.0%</w:t>
            </w:r>
          </w:p>
        </w:tc>
      </w:tr>
      <w:tr>
        <w:tc>
          <w:tcPr>
            <w:tcW w:type="dxa" w:w="1560"/>
          </w:tcPr>
          <w:p>
            <w:pPr>
              <w:spacing w:after="20"/>
            </w:pPr>
            <w:r>
              <w:rPr>
                <w:sz w:val="16"/>
              </w:rPr>
              <w:t>fixed-horizon replay test (pre-registered)</w:t>
            </w:r>
          </w:p>
        </w:tc>
        <w:tc>
          <w:tcPr>
            <w:tcW w:type="dxa" w:w="1560"/>
          </w:tcPr>
          <w:p>
            <w:pPr>
              <w:spacing w:after="20"/>
            </w:pPr>
            <w:r>
              <w:rPr>
                <w:sz w:val="16"/>
              </w:rPr>
              <w:t>35%</w:t>
            </w:r>
          </w:p>
        </w:tc>
        <w:tc>
          <w:tcPr>
            <w:tcW w:type="dxa" w:w="1560"/>
          </w:tcPr>
          <w:p>
            <w:pPr>
              <w:spacing w:after="20"/>
            </w:pPr>
            <w:r>
              <w:rPr>
                <w:sz w:val="16"/>
              </w:rPr>
              <w:t>10%</w:t>
            </w:r>
          </w:p>
        </w:tc>
        <w:tc>
          <w:tcPr>
            <w:tcW w:type="dxa" w:w="1560"/>
          </w:tcPr>
          <w:p>
            <w:pPr>
              <w:spacing w:after="20"/>
            </w:pPr>
            <w:r>
              <w:rPr>
                <w:sz w:val="16"/>
              </w:rPr>
              <w:t>92%</w:t>
            </w:r>
          </w:p>
        </w:tc>
        <w:tc>
          <w:tcPr>
            <w:tcW w:type="dxa" w:w="1560"/>
          </w:tcPr>
          <w:p>
            <w:pPr>
              <w:spacing w:after="20"/>
            </w:pPr>
            <w:r>
              <w:rPr>
                <w:sz w:val="16"/>
              </w:rPr>
              <w:t>58%</w:t>
            </w:r>
          </w:p>
        </w:tc>
        <w:tc>
          <w:tcPr>
            <w:tcW w:type="dxa" w:w="1560"/>
          </w:tcPr>
          <w:p>
            <w:pPr>
              <w:spacing w:after="20"/>
            </w:pPr>
            <w:r>
              <w:rPr>
                <w:sz w:val="16"/>
              </w:rPr>
              <w:t>4.2%</w:t>
            </w:r>
          </w:p>
        </w:tc>
      </w:tr>
    </w:tbl>
    <w:p>
      <w:pPr>
        <w:spacing w:after="80" w:before="0"/>
      </w:pPr>
    </w:p>
    <w:p>
      <w:pPr>
        <w:spacing w:after="80" w:before="0"/>
        <w:jc w:val="both"/>
      </w:pPr>
      <w:r>
        <w:rPr>
          <w:sz w:val="20"/>
        </w:rPr>
        <w:t xml:space="preserve">- Added after the freeze and labelled exploratory: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It is the content of git commit </w:t>
      </w:r>
      <w:r>
        <w:rPr>
          <w:rFonts w:ascii="Courier New" w:hAnsi="Courier New"/>
          <w:sz w:val="20"/>
        </w:rPr>
        <w:t>98f00dc</w:t>
      </w:r>
      <w:r>
        <w:rPr>
          <w:sz w:val="20"/>
        </w:rPr>
        <w:t xml:space="preserve">; everything else in this report was done during the sprint, on branch </w:t>
      </w:r>
      <w:r>
        <w:rPr>
          <w:rFonts w:ascii="Courier New" w:hAnsi="Courier New"/>
          <w:sz w:val="20"/>
        </w:rPr>
        <w:t>sprint</w:t>
      </w:r>
      <w:r>
        <w:rPr>
          <w:sz w:val="20"/>
        </w:rPr>
        <w:t>, with dated commits.</w:t>
      </w:r>
    </w:p>
    <w:p>
      <w:pPr>
        <w:tabs>
          <w:tab w:pos="403" w:val="left"/>
        </w:tabs>
        <w:spacing w:after="40" w:before="0"/>
        <w:ind w:left="403" w:hanging="288"/>
      </w:pPr>
      <w:r>
        <w:rPr>
          <w:sz w:val="20"/>
        </w:rPr>
        <w:t>•</w:t>
        <w:tab/>
      </w:r>
      <w:r>
        <w:rPr>
          <w:sz w:val="20"/>
        </w:rPr>
        <w:t>The repository skeleton,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An implementation of Bonjour et al.'s γ, net influence Γ and decision rule, with a family-wise resampling test.</w:t>
      </w:r>
    </w:p>
    <w:p>
      <w:pPr>
        <w:tabs>
          <w:tab w:pos="403" w:val="left"/>
        </w:tabs>
        <w:spacing w:after="40" w:before="0"/>
        <w:ind w:left="403" w:hanging="288"/>
      </w:pPr>
      <w:r>
        <w:rPr>
          <w:sz w:val="20"/>
        </w:rPr>
        <w:t>•</w:t>
        <w:tab/>
      </w:r>
      <w:r>
        <w:rPr>
          <w:sz w:val="20"/>
        </w:rPr>
        <w:t>A scripted rock-paper-scissors simulator and the S0 validation: a replication of Bonjour et al.'s Table 2 and a calibration comparison on scripted nulls (§4.1 cites its false-alarm rate).</w:t>
      </w:r>
    </w:p>
    <w:p>
      <w:pPr>
        <w:tabs>
          <w:tab w:pos="403" w:val="left"/>
        </w:tabs>
        <w:spacing w:after="40" w:before="0"/>
        <w:ind w:left="403" w:hanging="288"/>
      </w:pPr>
      <w:r>
        <w:rPr>
          <w:sz w:val="20"/>
        </w:rPr>
        <w:t>•</w:t>
        <w:tab/>
      </w:r>
      <w:r>
        <w:rPr>
          <w:sz w:val="20"/>
        </w:rPr>
        <w:t>An adapter for Agrawal et al.'s shipped runs and a pooled transfer-entropy pilot on them.</w:t>
      </w:r>
    </w:p>
    <w:p>
      <w:pPr>
        <w:tabs>
          <w:tab w:pos="403" w:val="left"/>
        </w:tabs>
        <w:spacing w:after="40" w:before="0"/>
        <w:ind w:left="403" w:hanging="288"/>
      </w:pPr>
      <w:r>
        <w:rPr>
          <w:sz w:val="20"/>
        </w:rPr>
        <w:t>•</w:t>
        <w:tab/>
      </w:r>
      <w:r>
        <w:rPr>
          <w:sz w:val="20"/>
        </w:rPr>
        <w:t>A first version of the LLM rock-paper-scissors script, run only with fake replies; no LLM data were collected before the sprint.</w:t>
      </w:r>
    </w:p>
    <w:p>
      <w:pPr>
        <w:tabs>
          <w:tab w:pos="403" w:val="left"/>
        </w:tabs>
        <w:spacing w:after="40" w:before="0"/>
        <w:ind w:left="403" w:hanging="288"/>
      </w:pPr>
      <w:r>
        <w:rPr>
          <w:sz w:val="20"/>
        </w:rPr>
        <w:t>•</w:t>
        <w:tab/>
      </w:r>
      <w:r>
        <w:rPr>
          <w:sz w:val="20"/>
        </w:rPr>
        <w:t>Literature notes, the choice of research question and an initial plan.</w:t>
      </w:r>
    </w:p>
    <w:p>
      <w:pPr>
        <w:spacing w:after="80" w:before="0"/>
        <w:jc w:val="both"/>
      </w:pPr>
      <w:r>
        <w:rPr>
          <w:sz w:val="20"/>
        </w:rPr>
        <w:t>Done during the sprint:</w:t>
      </w:r>
    </w:p>
    <w:p>
      <w:pPr>
        <w:tabs>
          <w:tab w:pos="403" w:val="left"/>
        </w:tabs>
        <w:spacing w:after="40" w:before="0"/>
        <w:ind w:left="403" w:hanging="288"/>
      </w:pPr>
      <w:r>
        <w:rPr>
          <w:sz w:val="20"/>
        </w:rPr>
        <w:t>•</w:t>
        <w:tab/>
      </w:r>
      <w:r>
        <w:rPr>
          <w:sz w:val="20"/>
        </w:rPr>
        <w:t>every LLM experiment and the procurement auction;</w:t>
      </w:r>
    </w:p>
    <w:p>
      <w:pPr>
        <w:tabs>
          <w:tab w:pos="403" w:val="left"/>
        </w:tabs>
        <w:spacing w:after="40" w:before="0"/>
        <w:ind w:left="403" w:hanging="288"/>
      </w:pPr>
      <w:r>
        <w:rPr>
          <w:sz w:val="20"/>
        </w:rPr>
        <w:t>•</w:t>
        <w:tab/>
      </w:r>
      <w:r>
        <w:rPr>
          <w:sz w:val="20"/>
        </w:rPr>
        <w:t>the per-episode replay test with pooled re-queries, and the pre-registration;</w:t>
      </w:r>
    </w:p>
    <w:p>
      <w:pPr>
        <w:tabs>
          <w:tab w:pos="403" w:val="left"/>
        </w:tabs>
        <w:spacing w:after="40" w:before="0"/>
        <w:ind w:left="403" w:hanging="288"/>
      </w:pPr>
      <w:r>
        <w:rPr>
          <w:sz w:val="20"/>
        </w:rPr>
        <w:t>•</w:t>
        <w:tab/>
      </w:r>
      <w:r>
        <w:rPr>
          <w:sz w:val="20"/>
        </w:rPr>
        <w:t>the external Agrawal panel and the judges;</w:t>
      </w:r>
    </w:p>
    <w:p>
      <w:pPr>
        <w:tabs>
          <w:tab w:pos="403" w:val="left"/>
        </w:tabs>
        <w:spacing w:after="40" w:before="0"/>
        <w:ind w:left="403" w:hanging="288"/>
      </w:pPr>
      <w:r>
        <w:rPr>
          <w:sz w:val="20"/>
        </w:rPr>
        <w:t>•</w:t>
        <w:tab/>
      </w:r>
      <w:r>
        <w:rPr>
          <w:sz w:val="20"/>
        </w:rPr>
        <w:t>the sequential test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