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the actions of different agents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almost never flags a vendor that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such as pricing bots in one market, bidders in one procurement system and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because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7592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75923"/>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and a pre-registered replication confirms the sequential version (Sections 5.2 and 5.3). We map its boundary, which covers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which is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such as the prompt, the public history, tool outputs and the agent's own memory. The </w:t>
      </w:r>
      <w:r>
        <w:rPr>
          <w:i/>
          <w:sz w:val="20"/>
        </w:rPr>
        <w:t>channel</w:t>
      </w:r>
      <w:r>
        <w:rPr>
          <w:sz w:val="20"/>
        </w:rPr>
        <w:t xml:space="preserve"> (C) is the input under audit, for example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agent picks each action with the same probability. Writing Pr for the probability that the deployed agent picks a given action,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or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932085"/>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932085"/>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It is the mutual information between the same-round actions of two agents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game statistic is the largest such value over all pairs, so one test per game covers every pair without further correction. Appendix C.9 states the formulas. To get a p-value, the auditor builds 999 null datasets, each by redrawing every action at random from its pool, and recomputes the statistic on each. The p-value is the number of null datasets whose statistic reaches the observed one, plus one, divided by one thousand. The game is flagged when the p-value is at most the chosen level, and the pair with the largest statistic is named. Proposition 1 holds round by round but not for redrawing all rounds at once, because later views contain earlier actions. This version therefore has no finite-sample guarantee over a whole game, and we measure its calibration instead (Sections 5.2 and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Call this estimate q. The round's payoff compares the logged joint move with the joint moves the two pools can form (with two replays each, nine of them):</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r>
                <m:t xml:space="preserve">q</m:t>
              </m:r>
              <m:r>
                <m:rPr>
                  <m:sty m:val="p"/>
                </m:rPr>
                <m:t xml:space="preserve">(</m:t>
              </m:r>
              <m:r>
                <m:rPr>
                  <m:sty m:val="p"/>
                </m:rPr>
                <m:t xml:space="preserve">logged joint move</m:t>
              </m:r>
              <m:r>
                <m:rPr>
                  <m:sty m:val="p"/>
                </m:rPr>
                <m:t xml:space="preserve">)</m:t>
              </m:r>
            </m:num>
            <m:den>
              <m:r>
                <m:rPr>
                  <m:sty m:val="p"/>
                </m:rPr>
                <m:t xml:space="preserve">average of </m:t>
              </m:r>
              <m:r>
                <m:t xml:space="preserve">q</m:t>
              </m:r>
              <m:r>
                <m:rPr>
                  <m:sty m:val="p"/>
                </m:rPr>
                <m:t xml:space="preserve"> over the nine pool joint moves</m:t>
              </m:r>
            </m:den>
          </m:f>
          <m:r>
            <m:rPr>
              <m:sty m:val="p"/>
            </m:rPr>
            <m:t xml:space="preserve">,</m:t>
          </m:r>
          <m:r>
            <m:rPr>
              <m:sty m:val="p"/>
            </m:rPr>
            <m:t xml:space="preserve">  </m:t>
          </m:r>
          <m:sSub>
            <m:e>
              <m:r>
                <m:rPr>
                  <m:sty m:val="p"/>
                </m:rPr>
                <m:t xml:space="preserve">evidence</m:t>
              </m:r>
            </m:e>
            <m:sub>
              <m:r>
                <m:t xml:space="preserve">T</m:t>
              </m:r>
            </m:sub>
          </m:sSub>
          <m:r>
            <m:rPr>
              <m:sty m:val="p"/>
            </m:rPr>
            <m:t xml:space="preserve">=</m:t>
          </m:r>
          <m:r>
            <m:rPr>
              <m:sty m:val="p"/>
            </m:rPr>
            <m:t xml:space="preserve">average over pairs of </m:t>
          </m:r>
          <m:nary>
            <m:naryPr>
              <m:chr m:val="∏"/>
              <m:limLoc m:val="undOvr"/>
              <m:supHide m:val="1"/>
            </m:naryPr>
            <m:sub>
              <m:r>
                <m:t xml:space="preserve">t</m:t>
              </m:r>
              <m:r>
                <m:t xml:space="preserve">≤</m:t>
              </m:r>
              <m:r>
                <m:t xml:space="preserve">T</m:t>
              </m:r>
            </m:sub>
            <m:sup/>
            <m:e>
              <m:sSub>
                <m:e>
                  <m:r>
                    <m:rPr>
                      <m:sty m:val="p"/>
                    </m:rPr>
                    <m:t xml:space="preserve">payoff</m:t>
                  </m:r>
                </m:e>
                <m:sub>
                  <m:r>
                    <m:t xml:space="preserve">t</m:t>
                  </m:r>
                </m:sub>
              </m:sSub>
            </m:e>
          </m:nary>
          <m:r>
            <m:rPr>
              <m:sty m:val="p"/>
            </m:rPr>
            <m:t xml:space="preserve">,</m:t>
          </m:r>
        </m:oMath>
      </m:oMathPara>
    </w:p>
    <w:p>
      <w:pPr>
        <w:spacing w:after="60" w:before="0"/>
        <w:jc w:val="both"/>
      </w:pPr>
      <w:r>
        <w:rPr>
          <w:sz w:val="20"/>
        </w:rPr>
        <w:t>where the product multiplies the pair's payoffs from round 1 to round T. Under the null the logged joint move is one of the nine at random, so the expected payoff is 1 and the evidence stays flat. A pair that keeps playing joint moves its pools do not reproduce earns payoffs above 1 round after round. An alarm is raised at the first round in which the evidence reaches 1 divided by the chosen level (20 at the 5% level). The estimate q depends only on earlier rounds and is positive, so every payoff is positive. The two tests look for different things. Net influence looks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using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using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replays, the level, and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2. Sequential test. Update the evidence after each round. At the first round it reaches 1 divided by the level,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with seats P1 to P4, 30 rounds and a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We compare with three detectors. Pairwise mutual information uses a within-episode time-shuffle null. Bonjour's rule puts a fixed threshold on the same net-influence statistic. An LLM judge (Claude Haiku, temperature 0)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Figure 3 lists the conditions.</w:t>
      </w:r>
    </w:p>
    <w:p>
      <w:pPr>
        <w:keepNext/>
        <w:spacing w:after="40" w:before="0"/>
        <w:jc w:val="center"/>
      </w:pPr>
      <w:r>
        <w:drawing>
          <wp:inline>
            <wp:extent cx="5760720" cy="1681208"/>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681208"/>
                    </a:xfrm>
                    <a:prstGeom prst="rect"/>
                  </pic:spPr>
                </pic:pic>
              </a:graphicData>
            </a:graphic>
          </wp:inline>
        </w:drawing>
      </w:r>
    </w:p>
    <w:p>
      <w:pPr>
        <w:spacing w:after="120" w:before="0"/>
        <w:jc w:val="both"/>
      </w:pPr>
      <w:r>
        <w:rPr>
          <w:b/>
          <w:color w:val="404040"/>
          <w:sz w:val="17"/>
        </w:rPr>
        <w:t>Figure 3. The conditions.</w:t>
      </w:r>
      <w:r>
        <w:rPr>
          <w:color w:val="404040"/>
          <w:sz w:val="17"/>
        </w:rPr>
        <w:t xml:space="preserve"> Each row is one set of games. Grey rows are honest, with no hidden channel. Red rows have a hidden channel that is meant to change actions, and the test should name the pair.</w:t>
      </w: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We first measured how often dependence tests accuse agents that never communicate. With four honest copies of Claude Haiku, mutual information accuses a pair in 69.3% of games (Figure 4a). The published auction logs of Agrawal et al. show the same, and so does our pre-registered re-implementation of that auction, where mutual information flagged 26/30 honest DeepSeek games without chat and the sequential replay test 0/30 (Table A6b). The confound is real and large. Only in our sealed-bid auction, where honest bids barely vary, do the standard tests stay quiet.</w:t>
      </w:r>
    </w:p>
    <w:p>
      <w:pPr>
        <w:keepNext/>
        <w:spacing w:after="40" w:before="0"/>
        <w:jc w:val="center"/>
      </w:pPr>
      <w:r>
        <w:drawing>
          <wp:inline>
            <wp:extent cx="5760720" cy="1964851"/>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1964851"/>
                    </a:xfrm>
                    <a:prstGeom prst="rect"/>
                  </pic:spPr>
                </pic:pic>
              </a:graphicData>
            </a:graphic>
          </wp:inline>
        </w:drawing>
      </w:r>
    </w:p>
    <w:p>
      <w:pPr>
        <w:spacing w:after="120" w:before="0"/>
        <w:jc w:val="both"/>
      </w:pPr>
      <w:r>
        <w:rPr>
          <w:b/>
          <w:color w:val="404040"/>
          <w:sz w:val="17"/>
        </w:rPr>
        <w:t>Figure 4. Honest agents are accused by standard tests, not by the replay test, and real hidden channels are still caught.</w:t>
      </w:r>
      <w:r>
        <w:rPr>
          <w:color w:val="404040"/>
          <w:sz w:val="17"/>
        </w:rPr>
        <w:t xml:space="preserve"> (a) Share of honest games in which each detector accuses a pair. The dashed line is the 5% level the tests are set to. (b) Three detection results. The vendor game uses the fixed-horizon test. The replication and the cartel series were pre-registered on fresh games. Appendix C has every condition with intervals.</w:t>
      </w:r>
    </w:p>
    <w:p>
      <w:pPr>
        <w:pStyle w:val="Heading3"/>
        <w:keepNext/>
        <w:spacing w:before="100" w:after="60"/>
      </w:pPr>
      <w:r>
        <w:rPr/>
        <w:t>5.2 The replay test stays near its false-alarm target</w:t>
      </w:r>
    </w:p>
    <w:p>
      <w:pPr>
        <w:spacing w:after="60" w:before="0"/>
        <w:jc w:val="both"/>
      </w:pPr>
      <w:r>
        <w:rPr>
          <w:sz w:val="20"/>
        </w:rPr>
        <w:t>The replay test is meant to remove that confound. On 550 honest rock-paper-scissors games of the two main models (same model, mixed models and undelivered plans, Table A1), the fixed-horizon version flags 4.2%, close to the 5% it is set to, and its p-values are close to uniform. The honest auction games and the validation models behave the same way (Table A1). In the pre-registered auction study, the sequential test raised 0/60 false alarms in games without chat, which rules out a false-alarm rate of 15% or more (Table A6b). Accusations of honest fleets stay near the chosen rate (Appendix C.7).</w:t>
      </w:r>
    </w:p>
    <w:p>
      <w:pPr>
        <w:pStyle w:val="Heading3"/>
        <w:keepNext/>
        <w:spacing w:before="100" w:after="60"/>
      </w:pPr>
      <w:r>
        <w:rPr/>
        <w:t>5.3 Channels that change behaviour are found</w:t>
      </w:r>
    </w:p>
    <w:p>
      <w:pPr>
        <w:spacing w:after="60" w:before="0"/>
        <w:jc w:val="both"/>
      </w:pPr>
      <w:r>
        <w:rPr>
          <w:sz w:val="20"/>
        </w:rPr>
        <w:t xml:space="preserve">The second question is whether the test still sees real collusion. The cleanest case is a pricing vendor that pools its two clients' confidential costs and rotates the wins. The test names that pair in 92.5% of games, and almost never flags a vendor that uses public data only (Table A1). This is the line the courts drew in </w:t>
      </w:r>
      <w:r>
        <w:rPr>
          <w:i/>
          <w:sz w:val="20"/>
        </w:rPr>
        <w:t>Gibson v. Cendyn</w:t>
      </w:r>
      <w:r>
        <w:rPr>
          <w:sz w:val="20"/>
        </w:rPr>
        <w:t xml:space="preserve"> (independent licensees of one tool, lawful) and </w:t>
      </w:r>
      <w:r>
        <w:rPr>
          <w:i/>
          <w:sz w:val="20"/>
        </w:rPr>
        <w:t>Duffy v. Yardi</w:t>
      </w:r>
      <w:r>
        <w:rPr>
          <w:sz w:val="20"/>
        </w:rPr>
        <w:t xml:space="preserve"> (pooled rival data, a case to answer). A second model family, Claude Haiku, gives the same split in a pre-registered run, with fewer pairs named because Haiku often refuses the vendor's instruction (Appendix C.11).</w:t>
      </w:r>
    </w:p>
    <w:p>
      <w:pPr>
        <w:spacing w:after="60" w:before="0"/>
        <w:jc w:val="both"/>
      </w:pPr>
      <w:r>
        <w:rPr>
          <w:sz w:val="20"/>
        </w:rPr>
        <w:t>Instructed secret plans in rock-paper-scissors are harder. The test names the Haiku pair in 35% of games and the DeepSeek pair less often, because DeepSeek's plans change every round and leave little joint signal. Mutual information names more Haiku pairs, but only by accusing honest groups as well. At the same false-alarm rate the replay test detects more (Table A4).</w:t>
      </w:r>
    </w:p>
    <w:p>
      <w:pPr>
        <w:spacing w:after="60" w:before="0"/>
        <w:jc w:val="both"/>
      </w:pPr>
      <w:r>
        <w:rPr>
          <w:sz w:val="20"/>
        </w:rPr>
        <w:t>The sequential version was confirmed in a pre-registered replication on fresh games. It named the instructed pair in 18/20 games, more than the fixed-horizon test on the same games, with no false alarms (Figure 5). Two further pre-registered runs extend this. A likelihood-ratio betting rule, derived in Appendix C.9, found DeepSeek pairs that the original bet missed, and a pair that hid its move in a code word in a public chat was caught while honest small talk was not (Appendix C.11). An LLM judge reading the same actions ranks pairs about as well as the test, but nothing controls how often it accuses honest agents, and given the private messages it accuses groups whose plans were never delivered (Appendix C.5).</w:t>
      </w:r>
    </w:p>
    <w:p>
      <w:pPr>
        <w:keepNext/>
        <w:spacing w:after="40" w:before="0"/>
        <w:jc w:val="center"/>
      </w:pPr>
      <w:r>
        <w:drawing>
          <wp:inline>
            <wp:extent cx="5760720" cy="1599779"/>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99779"/>
                    </a:xfrm>
                    <a:prstGeom prst="rect"/>
                  </pic:spPr>
                </pic:pic>
              </a:graphicData>
            </a:graphic>
          </wp:inline>
        </w:drawing>
      </w:r>
    </w:p>
    <w:p>
      <w:pPr>
        <w:spacing w:after="120" w:before="0"/>
        <w:jc w:val="both"/>
      </w:pPr>
      <w:r>
        <w:rPr>
          <w:b/>
          <w:color w:val="404040"/>
          <w:sz w:val="17"/>
        </w:rPr>
        <w:t>Figure 5.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The third question is where the test is blind. We found three cases. Pairs told they are a team but given no channel are not flagged.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prices, yet the sequential test alarmed in only 2/30 of its games (Table A6). A replay keeps the seller's memory, so a price floor read in one hour is still obeyed by the replay of the next. What the inbox does add is timing. All followers leave their replays in the same hours, and a statistic that counts such rounds, chosen after seeing these data, flags 20/30 cartel games. A fresh pre-registered series confirmed it (Appendix C.11).</w:t>
      </w:r>
    </w:p>
    <w:p>
      <w:pPr>
        <w:spacing w:after="60" w:before="0"/>
        <w:jc w:val="both"/>
      </w:pPr>
      <w:r>
        <w:rPr>
          <w:sz w:val="20"/>
        </w:rPr>
        <w:t>Third, when honest agents repeat their own moves, the fixed-horizon test over-rejects, because its null redraws rounds independently and breaks the runs. The sequential test does not, as Proposition 2 requires, and we recommend it for agents whose actions persist (Table A5d).</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is evidence about the audited channel rather than about a shared vendor, at the chosen false-alarm rate.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near the chosen rate in our games.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spacing w:after="20"/>
            </w:pPr>
            <w:r>
              <w:rPr>
                <w:sz w:val="16"/>
              </w:rPr>
              <w:t>Models that failed the pilot's format or availability checks</w:t>
            </w:r>
          </w:p>
        </w:tc>
        <w:tc>
          <w:tcPr>
            <w:tcW w:type="dxa" w:w="2643"/>
          </w:tcPr>
          <w:p>
            <w:pPr>
              <w:keepNext/>
              <w:spacing w:after="20"/>
            </w:pPr>
            <w:r>
              <w:rPr>
                <w:sz w:val="16"/>
              </w:rPr>
              <w:t>dropped before the main samples</w:t>
            </w:r>
          </w:p>
        </w:tc>
      </w:tr>
      <w:tr>
        <w:trPr>
          <w:cantSplit/>
        </w:trPr>
        <w:tc>
          <w:tcPr>
            <w:tcW w:type="dxa" w:w="6429"/>
          </w:tcPr>
          <w:p>
            <w:pPr>
              <w:keepNext w:val="0"/>
              <w:spacing w:after="20"/>
            </w:pPr>
            <w:r>
              <w:rPr>
                <w:sz w:val="16"/>
              </w:rPr>
              <w:t>Body sentences that report C1 and C2 shortened after the data for readability</w:t>
            </w:r>
          </w:p>
        </w:tc>
        <w:tc>
          <w:tcPr>
            <w:tcW w:type="dxa" w:w="2643"/>
          </w:tcPr>
          <w:p>
            <w:pPr>
              <w:keepNext w:val="0"/>
              <w:spacing w:after="20"/>
            </w:pPr>
            <w:r>
              <w:rPr>
                <w:sz w:val="16"/>
              </w:rPr>
              <w:t>verdicts and numbers unchanged; test names and p-values in Table A6b</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