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正式版功能与验收清单</w:t>
        <w:br/>
        <w:t>及基础设计建议</w:t>
      </w:r>
    </w:p>
    <w:p>
      <w:r>
        <w:t>文件定位：根据已回收需求表整理的实施参考稿。功能、验收条件及基础设计可供评审，不是开发完成证明、报价或已确认的交付承诺。涉及AI服务范围、预算、覆盖规则和技术指标的待定项，以补充确认结果为准。</w:t>
      </w:r>
    </w:p>
    <w:p>
      <w:pPr>
        <w:pStyle w:val="Heading1"/>
      </w:pPr>
      <w:r>
        <w:t>1｜需求基线与当前差距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tblHeader/>
          <w:cantSplit/>
        </w:trPr>
        <w:tc>
          <w:tcPr>
            <w:tcW w:type="dxa" w:w="4933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933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基线 / 状态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规模</w:t>
            </w:r>
          </w:p>
        </w:tc>
        <w:tc>
          <w:tcPr>
            <w:tcW w:type="dxa" w:w="81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首批60名学生、1名教师、2个班；目标约30人同时会谈或集中上传。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计划时间</w:t>
            </w:r>
          </w:p>
        </w:tc>
        <w:tc>
          <w:tcPr>
            <w:tcW w:type="dxa" w:w="81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需求表计划：2026年11月5日试用、11月26日上线。日期需在范围与资源明确后复核，不在本文作可达性承诺。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首期目标</w:t>
            </w:r>
          </w:p>
        </w:tc>
        <w:tc>
          <w:tcPr>
            <w:tcW w:type="dxa" w:w="81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AI案主对话、视频上传、声音 / 语言 / 表情五星练习反馈、学生反思、教师复核。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部署与身份</w:t>
            </w:r>
          </w:p>
        </w:tc>
        <w:tc>
          <w:tcPr>
            <w:tcW w:type="dxa" w:w="81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中国大陆部署、自购域名、学号登录、学生 / 教师 / 管理员分权。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作业与数据</w:t>
            </w:r>
          </w:p>
        </w:tc>
        <w:tc>
          <w:tcPr>
            <w:tcW w:type="dxa" w:w="81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最多5次、覆盖前次、原记录不保留；资料保存5年。具体计次与保存范围仍待确认。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恢复要求</w:t>
            </w:r>
          </w:p>
        </w:tc>
        <w:tc>
          <w:tcPr>
            <w:tcW w:type="dxa" w:w="81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每周备份，需求表可接受丢失范围为一周，故障恢复目标24小时；需实际演练验证。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现有成果</w:t>
            </w:r>
          </w:p>
        </w:tc>
        <w:tc>
          <w:tcPr>
            <w:tcW w:type="dxa" w:w="81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已有可运行的规则 / AI文字实训、文字反馈、教师演示复核、视频上传及反思原型。真实模型连通曾由使用者检查成功，不代表完成教学质量验证。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尚未正式化</w:t>
            </w:r>
          </w:p>
        </w:tc>
        <w:tc>
          <w:tcPr>
            <w:tcW w:type="dxa" w:w="81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真实身份与班级权限、可靠数据库和视频存储、三维视频评估、上传队列、费用治理、完整运维及验收。</w:t>
            </w:r>
          </w:p>
        </w:tc>
      </w:tr>
    </w:tbl>
    <w:p>
      <w:pPr>
        <w:spacing w:after="0"/>
      </w:pPr>
    </w:p>
    <w:p>
      <w:pPr>
        <w:pStyle w:val="Heading1"/>
      </w:pPr>
      <w:r>
        <w:t>正式方案的前置决定</w:t>
      </w:r>
    </w:p>
    <w:p>
      <w:r>
        <w:t>①明确第三方AI处理限制；②统一预算金额、周期和费用范围；③确定视频支持范围；④明确计次与覆盖语义；⑤确认教师校准及复核方式；⑥核验大陆部署、域名与备案主体。</w:t>
      </w:r>
    </w:p>
    <w:p>
      <w:r>
        <w:t>不把境内云服务自动视为“非第三方”，不把文字反馈当成视频综合评分，不把演示账号当成正式教师身份。</w:t>
      </w:r>
    </w:p>
    <w:p>
      <w:r>
        <w:br w:type="page"/>
      </w:r>
    </w:p>
    <w:p>
      <w:pPr>
        <w:pStyle w:val="Heading1"/>
      </w:pPr>
      <w:r>
        <w:t>2｜正式版功能清单与实施状态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5726"/>
        <w:gridCol w:w="2324"/>
      </w:tblGrid>
      <w:tr>
        <w:trPr>
          <w:tblHeader/>
          <w:cantSplit/>
        </w:trPr>
        <w:tc>
          <w:tcPr>
            <w:tcW w:type="dxa" w:w="3289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编号 / 模块</w:t>
            </w:r>
          </w:p>
        </w:tc>
        <w:tc>
          <w:tcPr>
            <w:tcW w:type="dxa" w:w="3289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正式版要求</w:t>
            </w:r>
          </w:p>
        </w:tc>
        <w:tc>
          <w:tcPr>
            <w:tcW w:type="dxa" w:w="3289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F01 身份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学号及身份验证；教师和管理员由授权流程创建，不允许自行选择角色。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待开发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F02 班级课程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课程按学期建立；导入学生、分配教师、转班 / 退课、归档课程。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待开发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F03 角色隔离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学生仅本人资料；教师限所授班级；管理员按职责授权，下载与导出留痕。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原型有限；待重做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F04 案例会谈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五案主背景、阶段与目标固定；上下文对话；时限、异常恢复、教师反馈渠道。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演示已有；待校准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F05 提交规则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计次上限、覆盖提醒、并发保护、成功后替换、失败不破坏当前作业。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待开发；规则待确认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F06 视频上传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明确格式 / 大小；可重试上传；服务端探测时长、音轨和可解码性。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基础上传已有；待增强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F07 后台分析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转码、转写、采样、模型任务队列；状态可见、受控重试、结果对应正确作业。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待开发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F08 三维反馈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声音 / 语言 / 表情分别反馈；证据可定位；无法分析时明确说明并支持人工处理。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目前仅文字AI反馈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F09 教师复核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查看完整材料、调整星级、说明依据、处理异议，保留管理审计。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演示已有；待正式化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F10 反思与导出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学生反思提交；教师按班级导出；下载权限校验及操作记录。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原型已有；待权限增强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F11 可靠存储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持久数据库、私有视频对象存储、受控临时链接、到期删除、五年保留策略。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待开发 / 配置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F12 运维预算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备份恢复、告警、发布回滚、费用核算与额度控制、管理文档。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仅基础限制；待完善</w:t>
            </w:r>
          </w:p>
        </w:tc>
      </w:tr>
    </w:tbl>
    <w:p>
      <w:pPr>
        <w:spacing w:after="0"/>
      </w:pPr>
    </w:p>
    <w:p>
      <w:r>
        <w:t>状态说明：“演示已有”仅表示原型可体验，不等同于满足生产安全、并发、可靠性或学校验收要求。</w:t>
      </w:r>
    </w:p>
    <w:p>
      <w:r>
        <w:br w:type="page"/>
      </w:r>
    </w:p>
    <w:p>
      <w:pPr>
        <w:pStyle w:val="Heading1"/>
      </w:pPr>
      <w:r>
        <w:t>3｜可执行的验收清单</w:t>
      </w:r>
    </w:p>
    <w:p>
      <w:r>
        <w:t>以下为拟定的验收项目。尚未约定的数值阈值需双方补充；本表不表示测试已经执行或通过。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5953"/>
        <w:gridCol w:w="3175"/>
      </w:tblGrid>
      <w:tr>
        <w:trPr>
          <w:tblHeader/>
          <w:cantSplit/>
        </w:trPr>
        <w:tc>
          <w:tcPr>
            <w:tcW w:type="dxa" w:w="3289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3289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测试及预期结果</w:t>
            </w:r>
          </w:p>
        </w:tc>
        <w:tc>
          <w:tcPr>
            <w:tcW w:type="dxa" w:w="3289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证据 / 待确认点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A01 身份</w:t>
            </w:r>
          </w:p>
        </w:tc>
        <w:tc>
          <w:tcPr>
            <w:tcW w:type="dxa" w:w="59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错误密码不能登录；初始密码、账号停用和管理员重置流程有效。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测试账号及操作记录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A02 数据隔离</w:t>
            </w:r>
          </w:p>
        </w:tc>
        <w:tc>
          <w:tcPr>
            <w:tcW w:type="dxa" w:w="59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学生A不能读取学生B资料；非授课教师不能读取其他班级；接口也执行同一权限。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越权请求测试记录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A03 课程变更</w:t>
            </w:r>
          </w:p>
        </w:tc>
        <w:tc>
          <w:tcPr>
            <w:tcW w:type="dxa" w:w="59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新学期建课不覆盖旧课程；转班和退课权限按约定生效。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课程与权限前后对照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A04 案例一致性</w:t>
            </w:r>
          </w:p>
        </w:tc>
        <w:tc>
          <w:tcPr>
            <w:tcW w:type="dxa" w:w="59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教师对五案例分别试谈，检查事实、面谈阶段及回应，记录偏差。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教师审核表；通过条件待定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A05 会谈并发</w:t>
            </w:r>
          </w:p>
        </w:tc>
        <w:tc>
          <w:tcPr>
            <w:tcW w:type="dxa" w:w="59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模拟30路会谈；不串话、不重复保存；超时可识别并可恢复。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压测报告；响应时间阈值待定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A06 上传并发</w:t>
            </w:r>
          </w:p>
        </w:tc>
        <w:tc>
          <w:tcPr>
            <w:tcW w:type="dxa" w:w="59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30名模拟用户上传约定上限的视频；中断可恢复或重试；旧作业不被误删。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上传成功率与耗时阈值待定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A07 文件验证</w:t>
            </w:r>
          </w:p>
        </w:tc>
        <w:tc>
          <w:tcPr>
            <w:tcW w:type="dxa" w:w="59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超过时长、大小或不可解码文件被明确处理；不只信任浏览器声明。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合成与异常视频样本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A08 提交计次</w:t>
            </w:r>
          </w:p>
        </w:tc>
        <w:tc>
          <w:tcPr>
            <w:tcW w:type="dxa" w:w="59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边界次数、重复请求及并发请求不多扣或绕过次数；覆盖前提醒。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按确认规则的边界测试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A09 分析可追溯</w:t>
            </w:r>
          </w:p>
        </w:tc>
        <w:tc>
          <w:tcPr>
            <w:tcW w:type="dxa" w:w="59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每份结果绑定作业版本；失败不伪造评分；引用和时间点能回到原材料。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结果、材料与任务记录对照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A10 教学校准</w:t>
            </w:r>
          </w:p>
        </w:tc>
        <w:tc>
          <w:tcPr>
            <w:tcW w:type="dxa" w:w="59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教师对样例独立评价，再与AI比较；差异记录并调整规则。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样本与容许差异标准待定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A11 恢复与删除</w:t>
            </w:r>
          </w:p>
        </w:tc>
        <w:tc>
          <w:tcPr>
            <w:tcW w:type="dxa" w:w="59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演练恢复至可用状态；按目标验证每周备份 / 24小时恢复；到期删除含备份策略。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恢复演练报告及清理记录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A12 发布与体验</w:t>
            </w:r>
          </w:p>
        </w:tc>
        <w:tc>
          <w:tcPr>
            <w:tcW w:type="dxa" w:w="595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手机、iPad、电脑完成全过程；测试站通过后发布；回滚路径可用。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设备清单、版本及演练记录</w:t>
            </w:r>
          </w:p>
        </w:tc>
      </w:tr>
    </w:tbl>
    <w:p>
      <w:pPr>
        <w:spacing w:after="0"/>
      </w:pPr>
    </w:p>
    <w:p>
      <w:r>
        <w:t>1—2名学生适合功能试用，不能替代30人并发验证。上线验收由课程负责人确认，工程测试与教学反馈分别记录。</w:t>
      </w:r>
    </w:p>
    <w:p>
      <w:r>
        <w:br w:type="page"/>
      </w:r>
    </w:p>
    <w:p>
      <w:pPr>
        <w:pStyle w:val="Heading1"/>
      </w:pPr>
      <w:r>
        <w:t>4｜基础设计：学号、班级与权限</w:t>
      </w:r>
    </w:p>
    <w:p>
      <w:pPr>
        <w:pStyle w:val="Heading1"/>
      </w:pPr>
      <w:r>
        <w:t>身份与登录流程</w:t>
      </w:r>
    </w:p>
    <w:p>
      <w:r>
        <w:t>建议采用学号＋密码；学号不是秘密，也不是单独的身份验证。学生由管理员按名单导入，首次激活或重置流程待确认；密码只保存安全哈希，不保存明文。教师、管理员由授权人员开通，取消自行选择教师身份的入口。</w:t>
      </w:r>
    </w:p>
    <w:p>
      <w:r>
        <w:t>会话建议使用HTTPS下的HttpOnly、Secure Cookie，并配置CSRF防护、登录限流、会话失效、密码重置与账号停用机制。正式系统需针对会话与权限做独立测试。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tblHeader/>
          <w:cantSplit/>
        </w:trPr>
        <w:tc>
          <w:tcPr>
            <w:tcW w:type="dxa" w:w="4933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4933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默认权限建议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学生</w:t>
            </w:r>
          </w:p>
        </w:tc>
        <w:tc>
          <w:tcPr>
            <w:tcW w:type="dxa" w:w="81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读取本人的课程和有效作业；在规则允许时提交、查看反馈和填写反思。不能访问同学资料。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教师</w:t>
            </w:r>
          </w:p>
        </w:tc>
        <w:tc>
          <w:tcPr>
            <w:tcW w:type="dxa" w:w="81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仅访问授权课程 / 班级；查看、复核、下载和导出学生作业；操作留痕。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管理员</w:t>
            </w:r>
          </w:p>
        </w:tc>
        <w:tc>
          <w:tcPr>
            <w:tcW w:type="dxa" w:w="81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管理账号、课程、学期与授权；是否可读取作业正文需单独授权，不默认拥有全部内容访问权。</w:t>
            </w:r>
          </w:p>
        </w:tc>
      </w:tr>
    </w:tbl>
    <w:p>
      <w:pPr>
        <w:spacing w:after="0"/>
      </w:pPr>
    </w:p>
    <w:p>
      <w:pPr>
        <w:pStyle w:val="Heading1"/>
      </w:pPr>
      <w:r>
        <w:t>建议的数据实体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17"/>
      </w:tblGrid>
      <w:tr>
        <w:trPr>
          <w:tblHeader/>
          <w:cantSplit/>
        </w:trPr>
        <w:tc>
          <w:tcPr>
            <w:tcW w:type="dxa" w:w="4933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实体</w:t>
            </w:r>
          </w:p>
        </w:tc>
        <w:tc>
          <w:tcPr>
            <w:tcW w:type="dxa" w:w="4933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用途与关键约束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User / Role</w:t>
            </w:r>
          </w:p>
        </w:tc>
        <w:tc>
          <w:tcPr>
            <w:tcW w:type="dxa" w:w="691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账号、学号、角色及状态；学号在约定单位范围唯一；权限由服务端判断。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Term / CourseOffering</w:t>
            </w:r>
          </w:p>
        </w:tc>
        <w:tc>
          <w:tcPr>
            <w:tcW w:type="dxa" w:w="691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学期和开课记录；每学期单独建立，历史课程可归档，不覆盖原数据。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Enrollment / TeachingAssignment</w:t>
            </w:r>
          </w:p>
        </w:tc>
        <w:tc>
          <w:tcPr>
            <w:tcW w:type="dxa" w:w="691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学生选课与教师授课关系；所有资料访问都核对有效关系。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Assignment / PracticeSession</w:t>
            </w:r>
          </w:p>
        </w:tc>
        <w:tc>
          <w:tcPr>
            <w:tcW w:type="dxa" w:w="691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作业配置、案主抽取及会谈；每份会谈归属具体学生和开课记录。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Submission / AttemptLedger</w:t>
            </w:r>
          </w:p>
        </w:tc>
        <w:tc>
          <w:tcPr>
            <w:tcW w:type="dxa" w:w="691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当前有效提交与计次流水；计次单位、覆盖范围以补充确认为准。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AnalysisJob / Feedback / Review</w:t>
            </w:r>
          </w:p>
        </w:tc>
        <w:tc>
          <w:tcPr>
            <w:tcW w:type="dxa" w:w="691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分析任务、机器反馈、教师复核；全部关联提交标识，避免新旧结果串用。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FileObject / AuditEvent</w:t>
            </w:r>
          </w:p>
        </w:tc>
        <w:tc>
          <w:tcPr>
            <w:tcW w:type="dxa" w:w="691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私有文件索引、到期时间与操作日志；不把密钥或完整作业正文写入审计日志。</w:t>
            </w:r>
          </w:p>
        </w:tc>
      </w:tr>
    </w:tbl>
    <w:p>
      <w:pPr>
        <w:spacing w:after="0"/>
      </w:pPr>
    </w:p>
    <w:p>
      <w:r>
        <w:t>本页是设计建议，尚未创建正式账号、导入名单或迁移现有数据。</w:t>
      </w:r>
    </w:p>
    <w:p>
      <w:r>
        <w:br w:type="page"/>
      </w:r>
    </w:p>
    <w:p>
      <w:pPr>
        <w:pStyle w:val="Heading1"/>
      </w:pPr>
      <w:r>
        <w:t>5｜基础设计：提交、覆盖与计次</w:t>
      </w:r>
    </w:p>
    <w:p>
      <w:pPr>
        <w:pStyle w:val="Heading1"/>
      </w:pPr>
      <w:r>
        <w:t>建议的提交状态</w:t>
      </w:r>
    </w:p>
    <w:p>
      <w:r>
        <w:t>上传中 → 文件验证中 → 待提交确认 → 当前有效提交 → 分析中 → 已反馈 / 待人工处理。失败状态需显示原因与可执行的恢复方式。每次状态变化都绑定同一个提交标识。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tblHeader/>
          <w:cantSplit/>
        </w:trPr>
        <w:tc>
          <w:tcPr>
            <w:tcW w:type="dxa" w:w="4933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4933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建议行为（待需求方确认）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首次 / 再次提交</w:t>
            </w:r>
          </w:p>
        </w:tc>
        <w:tc>
          <w:tcPr>
            <w:tcW w:type="dxa" w:w="714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显示剩余次数和覆盖范围；学生确认后创建提交标识与短期上传凭证。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上传或格式校验失败</w:t>
            </w:r>
          </w:p>
        </w:tc>
        <w:tc>
          <w:tcPr>
            <w:tcW w:type="dxa" w:w="714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不替换旧作业，不扣“有效提交”次数；允许重试或更换文件。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文件验证成功并确认提交</w:t>
            </w:r>
          </w:p>
        </w:tc>
        <w:tc>
          <w:tcPr>
            <w:tcW w:type="dxa" w:w="714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在数据库事务中校验次数、切换当前指针并计次；幂等编号保证重复请求只记一次。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同时点两次 / 多设备提交</w:t>
            </w:r>
          </w:p>
        </w:tc>
        <w:tc>
          <w:tcPr>
            <w:tcW w:type="dxa" w:w="714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同一学生作业使用锁或唯一约束，避免超过5次、双重计次及互相覆盖。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新提交替换旧内容</w:t>
            </w:r>
          </w:p>
        </w:tc>
        <w:tc>
          <w:tcPr>
            <w:tcW w:type="dxa" w:w="714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先保证新提交可用，再释放旧文件；旧正文是否删除及何时清理，按确认后的保留策略执行。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AI分析失败</w:t>
            </w:r>
          </w:p>
        </w:tc>
        <w:tc>
          <w:tcPr>
            <w:tcW w:type="dxa" w:w="714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当前作业仍有效，显示待重试 / 人工处理；重试分析不应重复计算学生提交次数。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新旧分析任务同时返回</w:t>
            </w:r>
          </w:p>
        </w:tc>
        <w:tc>
          <w:tcPr>
            <w:tcW w:type="dxa" w:w="714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写结果前核对提交标识；过期任务不得覆盖当前作业的反馈，也不沿用旧作业的教师结论。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教师已评价后学生重交</w:t>
            </w:r>
          </w:p>
        </w:tc>
        <w:tc>
          <w:tcPr>
            <w:tcW w:type="dxa" w:w="714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是否允许及是否需教师解锁待确认；若允许，应显示复核已过期并按新材料重新评价。</w:t>
            </w:r>
          </w:p>
        </w:tc>
      </w:tr>
    </w:tbl>
    <w:p>
      <w:pPr>
        <w:spacing w:after="0"/>
      </w:pPr>
    </w:p>
    <w:p>
      <w:pPr>
        <w:pStyle w:val="Heading1"/>
      </w:pPr>
      <w:r>
        <w:t>覆盖提醒建议文案</w:t>
      </w:r>
    </w:p>
    <w:p>
      <w:r>
        <w:t>“你已提交过本次作业。继续提交将按课程规则替换原作业及对应内容，原内容将不再提供查看。请确认已保存所需资料。剩余可提交次数：X次。”</w:t>
      </w:r>
    </w:p>
    <w:p>
      <w:r>
        <w:t>最终文案取决于确认后的覆盖范围与备份保留方式，不应在未确定实际删除机制时承诺立即彻底删除。</w:t>
      </w:r>
    </w:p>
    <w:p>
      <w:pPr>
        <w:pStyle w:val="Heading1"/>
      </w:pPr>
      <w:r>
        <w:t>保留内容与审计的区别</w:t>
      </w:r>
    </w:p>
    <w:p>
      <w:r>
        <w:t>建议只保留最终有效作业正文，但保留必要的提交时间、次数、状态和操作流水，以便证明计次正确。是否允许及保留期限需需求方确认；不得以“审计”名义长期保留已承诺删除的旧视频正文。</w:t>
      </w:r>
    </w:p>
    <w:p>
      <w:r>
        <w:br w:type="page"/>
      </w:r>
    </w:p>
    <w:p>
      <w:pPr>
        <w:pStyle w:val="Heading1"/>
      </w:pPr>
      <w:r>
        <w:t>6｜基础设计：视频、持久存储与备份</w:t>
      </w:r>
    </w:p>
    <w:p>
      <w:pPr>
        <w:pStyle w:val="Heading1"/>
      </w:pPr>
      <w:r>
        <w:t>数据与文件分开存储</w:t>
      </w:r>
    </w:p>
    <w:p>
      <w:r>
        <w:t>正式元数据建议使用持久关系数据库；视频进入私有对象存储。浏览器使用有时效的上传 / 下载凭证；每次获取文件访问权前先核对课程、班级和角色。避免把视频放在免费网站实例的本地目录。</w:t>
      </w:r>
    </w:p>
    <w:p>
      <w:pPr>
        <w:pStyle w:val="Heading1"/>
      </w:pPr>
      <w:r>
        <w:t>视频处理与分析队列</w:t>
      </w:r>
    </w:p>
    <w:p>
      <w:r>
        <w:t>先在服务端探测真实时长、格式、音轨和可解码性，再做转码、转写与按获准路线分析。分析使用后台队列，不要求浏览器一直等待；显示排队、处理、失败、完成状态，设置受控重试和重复调用防护。</w:t>
      </w:r>
    </w:p>
    <w:p>
      <w:r>
        <w:t>声音、语言、表情分维度保存证据与限制；语言结合文字会谈与视频转写；任何不可分析维度应标明未评分，不能用文字模型生成的猜测冒充音视频评估。具体模型路线需等D1与预算决定。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710"/>
      </w:tblGrid>
      <w:tr>
        <w:trPr>
          <w:tblHeader/>
          <w:cantSplit/>
        </w:trPr>
        <w:tc>
          <w:tcPr>
            <w:tcW w:type="dxa" w:w="4933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933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要求 / 设计建议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保存期限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需求表为5年；需确认起算点和保存对象。数据库、视频、反馈及教师复核分别配置到期处理。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备份目标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按需求表每周备份，可接受丢失范围一周、恢复目标24小时；这些目标必须经恢复演练验证。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备份与覆盖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备份中可能暂存旧副本。应约定副本有效期、恢复后的清理规则和删除申请处理，避免与覆盖承诺冲突。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日志与机密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登录、下载、导出、权限变更及复核操作留痕；密钥、密码、完整视频及非必要个人资料不写入日志。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容量与费用估算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按每学期新增作业量、平均文件大小和保留学期数估算，另计备份、流量及临时文件。若只保留最终提交，不按5个长期副本计；参数未定前不报价。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故障与恢复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存储、数据库、上传和模型服务分别监控；告警接收人、操作手册、恢复演练和账号交接需落实。</w:t>
            </w:r>
          </w:p>
        </w:tc>
      </w:tr>
    </w:tbl>
    <w:p>
      <w:pPr>
        <w:spacing w:after="0"/>
      </w:pPr>
    </w:p>
    <w:p>
      <w:r>
        <w:t>若直接从浏览器上传对象存储，仍需正确配置凭证时效、跨域规则、内容校验和回调身份验证，不能把存储密钥放入前端。</w:t>
      </w:r>
    </w:p>
    <w:p>
      <w:r>
        <w:br w:type="page"/>
      </w:r>
    </w:p>
    <w:p>
      <w:pPr>
        <w:pStyle w:val="Heading1"/>
      </w:pPr>
      <w:r>
        <w:t>7｜实施顺序、放行条件与责任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4309"/>
        <w:gridCol w:w="3515"/>
      </w:tblGrid>
      <w:tr>
        <w:trPr>
          <w:tblHeader/>
          <w:cantSplit/>
        </w:trPr>
        <w:tc>
          <w:tcPr>
            <w:tcW w:type="dxa" w:w="3289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3289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主要产出</w:t>
            </w:r>
          </w:p>
        </w:tc>
        <w:tc>
          <w:tcPr>
            <w:tcW w:type="dxa" w:w="3289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阶段0：确认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补充确认表、数据处理边界、预算口径、备案与账号责任。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关键决定有书面结果。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阶段1：基础系统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真实身份、课程班级、权限、持久存储、提交计次与覆盖。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权限与数据一致性测试通过。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阶段2：AI及媒体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按获准路线接入模型、媒体处理、三维评价、证据与复核。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教师样例校准，失败流程可用。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阶段3：验证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功能试用、30人并发、上传重试、备份恢复、测试站回滚。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工程报告及教师反馈确认。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阶段4：发布交接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正式域名与HTTPS、适用备案手续、告知文本、运行预算、账号与文档。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负责人确认上线与支持安排。</w:t>
            </w:r>
          </w:p>
        </w:tc>
      </w:tr>
    </w:tbl>
    <w:p>
      <w:pPr>
        <w:spacing w:after="0"/>
      </w:pPr>
    </w:p>
    <w:p>
      <w:pPr>
        <w:pStyle w:val="Heading1"/>
      </w:pPr>
      <w:r>
        <w:t>可以先推进的工作</w:t>
      </w:r>
    </w:p>
    <w:p>
      <w:r>
        <w:t>账号与班级的数据模型、服务端授权设计、提交事务与幂等、上传状态机、持久存储接口、验收脚本设计。这些可以先设计，但具体采购、迁移、材料外发和生产部署需相应决定及授权。</w:t>
      </w:r>
    </w:p>
    <w:p>
      <w:pPr>
        <w:pStyle w:val="Heading1"/>
      </w:pPr>
      <w:r>
        <w:t>当前不应直接放行的事项</w:t>
      </w:r>
    </w:p>
    <w:p>
      <w:r>
        <w:t>第三方AI处理范围未明确时，不将正式师生资料发送到当前外部模型；预算及资源未定时，不采购资源或承诺完整排期；真实身份与可靠存储未完成时，不把现有演示站当作正式教学系统。</w:t>
      </w:r>
    </w:p>
    <w:p>
      <w:pPr>
        <w:pStyle w:val="Heading1"/>
      </w:pPr>
      <w:r>
        <w:t>责任与交付建议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427"/>
      </w:tblGrid>
      <w:tr>
        <w:trPr>
          <w:tblHeader/>
          <w:cantSplit/>
        </w:trPr>
        <w:tc>
          <w:tcPr>
            <w:tcW w:type="dxa" w:w="4933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责任</w:t>
            </w:r>
          </w:p>
        </w:tc>
        <w:tc>
          <w:tcPr>
            <w:tcW w:type="dxa" w:w="4933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需落实的人员 / 结果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课程负责人</w:t>
            </w:r>
          </w:p>
        </w:tc>
        <w:tc>
          <w:tcPr>
            <w:tcW w:type="dxa" w:w="742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确认案例、量表、样例、复核方式、功能试用和教学验收。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学校 / 需求方管理人</w:t>
            </w:r>
          </w:p>
        </w:tc>
        <w:tc>
          <w:tcPr>
            <w:tcW w:type="dxa" w:w="742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确认资料处理范围、账号名单、域名备案主体、预算和对接责任。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实施与运维方</w:t>
            </w:r>
          </w:p>
        </w:tc>
        <w:tc>
          <w:tcPr>
            <w:tcW w:type="dxa" w:w="742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形成部署方案与估算；实现、测试、发布；提供故障联系、备份恢复及交接文档。</w:t>
            </w:r>
          </w:p>
        </w:tc>
      </w:tr>
    </w:tbl>
    <w:p>
      <w:pPr>
        <w:spacing w:after="0"/>
      </w:pPr>
    </w:p>
    <w:p>
      <w:pPr>
        <w:pStyle w:val="Heading1"/>
      </w:pPr>
      <w:r>
        <w:t>评审记录</w:t>
      </w:r>
    </w:p>
    <w:p>
      <w:r>
        <w:t>需求方确认：________________　实施方确认：________________</w:t>
        <w:br/>
        <w:t>评审日期：__________________　待定事项关闭时间：____________</w:t>
        <w:br/>
        <w:t>补充意见：________________________________________________</w:t>
        <w:br/>
        <w:t>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935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2026-10-18  ·  V0.1  ·  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09087"/>
        <w:sz w:val="16"/>
      </w:rPr>
      <w:t>个案工作实训平台  /  实施参考稿 · 待确认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eastAsia="黑体"/>
      <w:b/>
      <w:bCs/>
      <w:color w:val="245B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eastAsia="黑体"/>
      <w:b/>
      <w:bCs/>
      <w:color w:val="245B5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eastAsia="黑体"/>
      <w:color w:val="245B5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正式版功能与验收清单 及基础设计建议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