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left="0" w:right="0" w:firstLine="0"/>
      </w:pPr>
      <w:r>
        <w:rPr>
          <w:rFonts w:ascii="Times New Roman" w:hAnsi="Times New Roman" w:cs="Times New Roman"/>
          <w:sz w:val="34"/>
        </w:rPr>
        <w:t>Quantity dispersion and reported price deviations in European carbon auctions</w:t>
      </w:r>
    </w:p>
    <w:p>
      <w:pPr>
        <w:pStyle w:val="Subtitle"/>
        <w:ind w:left="0" w:right="0" w:firstLine="0"/>
      </w:pPr>
      <w:r>
        <w:rPr>
          <w:rFonts w:ascii="Times New Roman" w:hAnsi="Times New Roman" w:cs="Times New Roman"/>
          <w:sz w:val="24"/>
        </w:rPr>
        <w:t>Conditional associations and historical scope</w:t>
      </w:r>
    </w:p>
    <w:p>
      <w:pPr>
        <w:pStyle w:val="Author"/>
        <w:ind w:left="0" w:right="0" w:firstLine="0"/>
      </w:pPr>
      <w:r>
        <w:rPr>
          <w:rFonts w:ascii="Times New Roman" w:hAnsi="Times New Roman" w:cs="Times New Roman"/>
          <w:sz w:val="22"/>
        </w:rPr>
        <w:t>Zhongfei Tian · Xiang Wang</w:t>
      </w:r>
    </w:p>
    <w:p>
      <w:pPr>
        <w:pStyle w:val="Author"/>
        <w:ind w:left="0" w:right="0" w:firstLine="0"/>
      </w:pPr>
      <w:r>
        <w:rPr>
          <w:rFonts w:ascii="Times New Roman" w:hAnsi="Times New Roman" w:cs="Times New Roman"/>
          <w:sz w:val="22"/>
        </w:rPr>
        <w:t>Zhengzhou University of Aeronautics, Zhengzhou, Henan, China</w:t>
      </w:r>
    </w:p>
    <w:p>
      <w:pPr>
        <w:pStyle w:val="Author"/>
        <w:ind w:left="0" w:right="0" w:firstLine="0"/>
      </w:pPr>
      <w:r>
        <w:rPr>
          <w:rFonts w:ascii="Times New Roman" w:hAnsi="Times New Roman" w:cs="Times New Roman"/>
          <w:sz w:val="22"/>
        </w:rPr>
        <w:t>Corresponding author: Zhongfei Tian · 15517837680@163.com</w:t>
      </w:r>
    </w:p>
    <w:p>
      <w:pPr>
        <w:pStyle w:val="Heading1"/>
        <w:ind w:left="0" w:right="0" w:firstLine="0"/>
      </w:pPr>
      <w:r>
        <w:rPr>
          <w:rFonts w:ascii="Times New Roman" w:hAnsi="Times New Roman" w:cs="Times New Roman"/>
          <w:sz w:val="26"/>
        </w:rPr>
        <w:t>Abstract</w:t>
      </w:r>
    </w:p>
    <w:p>
      <w:pPr>
        <w:pStyle w:val="BodyText"/>
        <w:keepNext w:val="0"/>
        <w:spacing w:line="269" w:lineRule="auto" w:before="0" w:after="120"/>
        <w:ind w:left="0" w:right="0" w:firstLine="0"/>
      </w:pPr>
      <w:r>
        <w:rPr>
          <w:rFonts w:ascii="Times New Roman" w:hAnsi="Times New Roman" w:cs="Times New Roman"/>
          <w:sz w:val="23"/>
        </w:rPr>
        <w:t>Carbon-auction reports record the scale and dispersion of bidding, but these dimensions need not carry the same information. We examine reported bid and award dispersion in 1,281 successful European Union Allowance auctions during 2020–2025 and relate bid dispersion to official price comparisons for 240 German auctions. Conditional residual correlations between the quantity ratios are about 0.65 under two transformations. In the German subsample, an observed interquartile range of transformed bid dispersion corresponds to a fitted difference of −14.51 basis points in the official-reported signed deviation, with an exploratory quarter-clustered 95% interval of [−23.00, −6.01]. The comparison conditions on scale, participation, demand coverage, submitted-price range, the same-auction clearing price and year effects. Its direction persists in two predefined source subsets, but the absolute-deviation interval includes zero and omitting 2022 materially attenuates the coefficient. The quantity relationship is stronger in 2023–2025 despite lower marginal ratio medians. Selected-moment weighting retains positive period contrasts without equalizing the auction-volume distributions, while a separate 2026 quantity sample supplies limited new-time evidence. The results distinguish quantity co-variation, signed price position and absolute price distance. They document incremental conditional associations within the reporting archive, rather than causal allocation effects, improved pricing efficiency or forecasting gains. Interpretation retains the official signed convention and the exploratory status of inference.</w:t>
      </w:r>
    </w:p>
    <w:p>
      <w:pPr>
        <w:pStyle w:val="BodyText"/>
        <w:keepNext w:val="0"/>
        <w:spacing w:line="269" w:lineRule="auto" w:before="0" w:after="120"/>
        <w:ind w:left="0" w:right="0" w:firstLine="0"/>
      </w:pPr>
      <w:r>
        <w:rPr>
          <w:rFonts w:ascii="Times New Roman" w:hAnsi="Times New Roman" w:cs="Times New Roman"/>
          <w:sz w:val="23"/>
        </w:rPr>
        <w:t>Keywords: European Union Allowances; primary auctions; quantity dispersion; reported price deviations; measurement; temporal heterogeneity</w:t>
      </w:r>
    </w:p>
    <w:p>
      <w:pPr>
        <w:pStyle w:val="BodyText"/>
        <w:keepNext w:val="0"/>
        <w:spacing w:line="269" w:lineRule="auto" w:before="0" w:after="120"/>
        <w:ind w:left="0" w:right="0" w:firstLine="0"/>
      </w:pPr>
      <w:r>
        <w:rPr>
          <w:rFonts w:ascii="Times New Roman" w:hAnsi="Times New Roman" w:cs="Times New Roman"/>
          <w:sz w:val="23"/>
        </w:rPr>
        <w:t>JEL classification: D44; C13; Q58</w:t>
      </w:r>
    </w:p>
    <w:p>
      <w:pPr>
        <w:pStyle w:val="BodyText"/>
        <w:keepNext w:val="0"/>
        <w:spacing w:line="269" w:lineRule="auto" w:before="0" w:after="120"/>
        <w:ind w:left="0" w:right="0" w:firstLine="0"/>
      </w:pPr>
      <w:r>
        <w:rPr>
          <w:rFonts w:ascii="Times New Roman" w:hAnsi="Times New Roman" w:cs="Times New Roman"/>
          <w:sz w:val="23"/>
        </w:rPr>
        <w:br w:type="page"/>
      </w:r>
    </w:p>
    <w:p>
      <w:pPr>
        <w:pStyle w:val="Heading1"/>
        <w:ind w:left="0" w:right="0" w:firstLine="0"/>
      </w:pPr>
      <w:r>
        <w:rPr>
          <w:rFonts w:ascii="Times New Roman" w:hAnsi="Times New Roman" w:cs="Times New Roman"/>
          <w:sz w:val="26"/>
        </w:rPr>
        <w:t>1 Introduction</w:t>
      </w:r>
    </w:p>
    <w:p>
      <w:pPr>
        <w:pStyle w:val="BodyText"/>
        <w:keepNext w:val="0"/>
        <w:keepLines/>
        <w:spacing w:line="269" w:lineRule="auto" w:before="0" w:after="120"/>
        <w:ind w:left="0" w:right="0" w:firstLine="0"/>
      </w:pPr>
      <w:r>
        <w:rPr>
          <w:rFonts w:ascii="Times New Roman" w:hAnsi="Times New Roman" w:cs="Times New Roman"/>
          <w:sz w:val="23"/>
        </w:rPr>
        <w:t>Public carbon-auction reports contain more than a clearing price. They also record the quantities submitted and awarded, the number of participants and the dispersion of those quantities. The European Commission reports quantity moments alongside aggregate auction outcomes, while the European Securities and Markets Authority (ESMA) distinguishes participation from concentration in its market monitoring (European Commission 2024; ESMA 2025). These reporting dimensions motivate an empirical question: after accounting for the scale of an auction and the intensity of participation, does the dispersion of submitted quantities contain additional information about its recorded outcomes?</w:t>
      </w:r>
    </w:p>
    <w:p>
      <w:pPr>
        <w:pStyle w:val="BodyText"/>
        <w:keepNext w:val="0"/>
        <w:spacing w:line="269" w:lineRule="auto" w:before="0" w:after="120"/>
        <w:ind w:left="0" w:right="0" w:firstLine="0"/>
      </w:pPr>
      <w:r>
        <w:rPr>
          <w:rFonts w:ascii="Times New Roman" w:hAnsi="Times New Roman" w:cs="Times New Roman"/>
          <w:sz w:val="23"/>
        </w:rPr>
        <w:t>The question matters because aggregate demand and the distribution of demand are different objects. A given total submitted quantity can be distributed relatively evenly or unevenly over the units underlying a reported statistic. Counts and totals constrain a mean, but generally do not determine a standard deviation. Similarly, the range of submitted prices measures variation along a price dimension rather than the dispersion of bid quantities. Establishing a conditional relationship beyond these conventional measures is therefore a more informative exercise than reporting an unconditional correlation between auction statistics. It does not, on its own, identify the behaviour or market power of particular bidders.</w:t>
      </w:r>
    </w:p>
    <w:p>
      <w:pPr>
        <w:pStyle w:val="BodyText"/>
        <w:keepNext w:val="0"/>
        <w:spacing w:line="269" w:lineRule="auto" w:before="0" w:after="120"/>
        <w:ind w:left="0" w:right="0" w:firstLine="0"/>
      </w:pPr>
      <w:r>
        <w:rPr>
          <w:rFonts w:ascii="Times New Roman" w:hAnsi="Times New Roman" w:cs="Times New Roman"/>
          <w:sz w:val="23"/>
        </w:rPr>
        <w:t>We address two related questions in European Union Allowance (EUA) auctions. First, how strongly do the reported bid-side and award-side dispersion ratios co-vary after controlling for scale, participation and time? Second, in the subset for which an official secondary-market comparison is available, is bid dispersion associated with the reported signed price deviation beyond the same conventional auction characteristics? The first question describes the joint behaviour of two quantity indicators. The second connects one of those indicators to a different outcome. Neither question presumes that a reported standard deviation and its paired mean refer to an identical underlying population throughout the archive.</w:t>
      </w:r>
    </w:p>
    <w:p>
      <w:pPr>
        <w:pStyle w:val="BodyText"/>
        <w:keepNext w:val="0"/>
        <w:spacing w:line="269" w:lineRule="auto" w:before="0" w:after="120"/>
        <w:ind w:left="0" w:right="0" w:firstLine="0"/>
      </w:pPr>
      <w:r>
        <w:rPr>
          <w:rFonts w:ascii="Times New Roman" w:hAnsi="Times New Roman" w:cs="Times New Roman"/>
          <w:sz w:val="23"/>
        </w:rPr>
        <w:t>Awards originate in submitted bids, so some quantity association is plausible. What requires evidence is its conditional magnitude and historical scope, and whether the bid statistic also has a price-related association. We do not treat these as a causal sequence from bids through awards to prices. The price model does not identify an award-mediated channel. Instead, the analyses use different outcome variables and conditioning sets to establish two separate empirical relationships. This distinction allows the pricing question to be investigated without claiming to have recovered individual valuations, a demand schedule or an efficient benchmark price.</w:t>
      </w:r>
    </w:p>
    <w:p>
      <w:pPr>
        <w:pStyle w:val="BodyText"/>
        <w:keepNext w:val="0"/>
        <w:spacing w:line="269" w:lineRule="auto" w:before="0" w:after="120"/>
        <w:ind w:left="0" w:right="0" w:firstLine="0"/>
      </w:pPr>
      <w:r>
        <w:rPr>
          <w:rFonts w:ascii="Times New Roman" w:hAnsi="Times New Roman" w:cs="Times New Roman"/>
          <w:sz w:val="23"/>
        </w:rPr>
        <w:t>The quantity analysis uses 1,281 successful auctions in the EU, DE and PL reporting series of the European Energy Exchange (EEX), covering 2020–2025. Its price extension uses 240 German auctions in 21 quarters, selected by fixed source-quality rules from the 275 German auctions in the historical archive. The extension adds the bid-dispersion ratio to a baseline containing auction volume, participant counts, demand coverage, submitted-price range, the same-auction clearing price, year effects and reference type. The baseline and extended model use identical observations. The German comparisons are a matched subset, not an additional 240 observations or a second independent market.</w:t>
      </w:r>
    </w:p>
    <w:p>
      <w:pPr>
        <w:pStyle w:val="BodyText"/>
        <w:keepNext w:val="0"/>
        <w:spacing w:line="269" w:lineRule="auto" w:before="0" w:after="120"/>
        <w:ind w:left="0" w:right="0" w:firstLine="0"/>
      </w:pPr>
      <w:r>
        <w:rPr>
          <w:rFonts w:ascii="Times New Roman" w:hAnsi="Times New Roman" w:cs="Times New Roman"/>
          <w:sz w:val="23"/>
        </w:rPr>
        <w:t>The pooled quantity residual correlation is approximately 0.65 under both transformations. The price extension yields a negative conditional association: a difference equal to the observed interquartile range of transformed bid dispersion corresponds to a fitted signed-deviation difference of −14.51 basis points. Its quarter-clustered 95% interval is [−23.00, −6.01]. The direction also appears in two predefined source subsets. However, the absolute-deviation interval includes zero, and deleting 2022 substantially reduces the signed coefficient. Thus, the extension provides information about the position of the reported price comparison, not evidence that prices move closer to the reference or that the relationship has constant strength over time.</w:t>
      </w:r>
    </w:p>
    <w:p>
      <w:pPr>
        <w:pStyle w:val="BodyText"/>
        <w:keepNext w:val="0"/>
        <w:spacing w:line="269" w:lineRule="auto" w:before="0" w:after="120"/>
        <w:ind w:left="0" w:right="0" w:firstLine="0"/>
      </w:pPr>
      <w:r>
        <w:rPr>
          <w:rFonts w:ascii="Times New Roman" w:hAnsi="Times New Roman" w:cs="Times New Roman"/>
          <w:sz w:val="23"/>
        </w:rPr>
        <w:t>The historical quantity comparison provides a further distinction. The later period, 2023–2025, has lower marginal medians of both dispersion ratios but stronger conditional co-variation. An overlap-weighted comparison retains positive period contrasts after balancing selected composition moments, without equalizing the full auction-volume distribution. A separate January–September 2026 quantity sample also has a positive association, but its nine-month span limits temporal inference. These exercises qualify the historical relationship rather than multiply the number of independent confirmations.</w:t>
      </w:r>
    </w:p>
    <w:p>
      <w:pPr>
        <w:pStyle w:val="BodyText"/>
        <w:keepNext w:val="0"/>
        <w:spacing w:line="269" w:lineRule="auto" w:before="0" w:after="120"/>
        <w:ind w:left="0" w:right="0" w:firstLine="0"/>
      </w:pPr>
      <w:r>
        <w:rPr>
          <w:rFonts w:ascii="Times New Roman" w:hAnsi="Times New Roman" w:cs="Times New Roman"/>
          <w:sz w:val="23"/>
        </w:rPr>
        <w:t>The contribution is a measurement-explicit account of the joint information in published auction statistics. Relative to official marginal reporting, we quantify conditional quantity co-variation and distinguish it from changes in indicator levels. Relative to price-focused auction work such as Bosco (2023), we examine the additional association of quantity dispersion with an official-reported price comparison after including conventional demand, participation and submitted-price controls. We also distinguish signed position from absolute distance, an important distinction when interpreting an auction-to-reference comparison. The contribution is empirical and conditional; it is not a new estimator, a claim of prior misuse of official statistics or a demonstrated trading benefit.</w:t>
      </w:r>
    </w:p>
    <w:p>
      <w:pPr>
        <w:pStyle w:val="BodyText"/>
        <w:keepNext w:val="0"/>
        <w:spacing w:line="269" w:lineRule="auto" w:before="0" w:after="120"/>
        <w:ind w:left="0" w:right="0" w:firstLine="0"/>
      </w:pPr>
      <w:r>
        <w:rPr>
          <w:rFonts w:ascii="Times New Roman" w:hAnsi="Times New Roman" w:cs="Times New Roman"/>
          <w:sz w:val="23"/>
        </w:rPr>
        <w:t>The study is retrospective and exploratory. Historical results were inspected before supplementary checks, and the price specifications were finalized after source-data inspection but before their first fit. The order of presentation below brings the two core findings together without changing that research sequence. Section 2 develops the economic and measurement context. Section 3 describes the data and sample hierarchy, and Section 4 sets out the two core estimands. Section 5 presents quantity and price results side by side. Section 6 examines their historical scope and sensitivity, followed by discussion and conclusions in Sections 7 and 8. Online Resource 1 preserves the detailed diagnostics, source restrictions and study sequence.</w:t>
      </w:r>
    </w:p>
    <w:p>
      <w:pPr>
        <w:pStyle w:val="Heading1"/>
        <w:ind w:left="0" w:right="0" w:firstLine="0"/>
      </w:pPr>
      <w:r>
        <w:rPr>
          <w:rFonts w:ascii="Times New Roman" w:hAnsi="Times New Roman" w:cs="Times New Roman"/>
          <w:sz w:val="26"/>
        </w:rPr>
        <w:t>2 Auction reports and empirical questions</w:t>
      </w:r>
    </w:p>
    <w:p>
      <w:pPr>
        <w:pStyle w:val="Heading2"/>
        <w:keepLines/>
        <w:ind w:left="0" w:right="0" w:firstLine="0"/>
      </w:pPr>
      <w:r>
        <w:rPr>
          <w:rFonts w:ascii="Times New Roman" w:hAnsi="Times New Roman" w:cs="Times New Roman"/>
          <w:sz w:val="23"/>
        </w:rPr>
        <w:t>2.1 Allocation and the unit of observation</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EEX describes its emissions auctions as single-round, sealed-bid, uniform-price auctions. Bids are ranked by price, successful orders pay the clearing price, and marginal execution can be partial. Participants may bid on their own account or on behalf of clients (EEX </w:t>
      </w:r>
      <w:r>
        <w:rPr>
          <w:rFonts w:ascii="Times New Roman" w:hAnsi="Times New Roman" w:cs="Times New Roman"/>
          <w:sz w:val="23"/>
          <w:i w:val="1"/>
        </w:rPr>
        <w:t xml:space="preserve">n</w:t>
      </w:r>
      <w:r>
        <w:rPr>
          <w:rFonts w:ascii="Times New Roman" w:hAnsi="Times New Roman" w:cs="Times New Roman"/>
          <w:sz w:val="23"/>
        </w:rPr>
        <w:t xml:space="preserve">.</w:t>
      </w:r>
      <w:r>
        <w:rPr>
          <w:rFonts w:ascii="Times New Roman" w:hAnsi="Times New Roman" w:cs="Times New Roman"/>
          <w:sz w:val="23"/>
          <w:i w:val="1"/>
        </w:rPr>
        <w:t xml:space="preserve">d</w:t>
      </w:r>
      <w:r>
        <w:rPr>
          <w:rFonts w:ascii="Times New Roman" w:hAnsi="Times New Roman" w:cs="Times New Roman"/>
          <w:sz w:val="23"/>
        </w:rPr>
        <w:t xml:space="preserve">.).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keepNext w:val="0"/>
        <w:widowControl/>
        <w:spacing w:line="269" w:lineRule="auto" w:before="0" w:after="120"/>
        <w:ind w:left="0" w:right="0" w:firstLine="0"/>
      </w:pPr>
      <w:r>
        <w:rPr>
          <w:rFonts w:ascii="Times New Roman" w:hAnsi="Times New Roman" w:cs="Times New Roman"/>
          <w:sz w:val="23"/>
        </w:rP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keepNext w:val="0"/>
        <w:spacing w:line="269" w:lineRule="auto" w:before="0" w:after="120"/>
        <w:ind w:left="0" w:right="0" w:firstLine="0"/>
      </w:pPr>
      <w:r>
        <w:rPr>
          <w:rFonts w:ascii="Times New Roman" w:hAnsi="Times New Roman" w:cs="Times New Roman"/>
          <w:sz w:val="23"/>
        </w:rPr>
        <w:t>The observation in this article is a completed auction report. It is not an individual order, a bidder balance sheet or an installation's eventual compliance position. Consequently, variation between reports can reflect changes in the mix of participants, their submitted quantities, the allocation outcome and the reporting convention. A report-level analysis can describe their joint variation, but cannot determine which participant or client generated it. The distinction is especially important for award statistics, because an award-side population may differ from a bid-side population and unsuccessful quantities need not enter both summaries in the same way.</w:t>
      </w:r>
    </w:p>
    <w:p>
      <w:pPr>
        <w:pStyle w:val="Heading2"/>
        <w:ind w:left="0" w:right="0" w:firstLine="0"/>
      </w:pPr>
      <w:r>
        <w:rPr>
          <w:rFonts w:ascii="Times New Roman" w:hAnsi="Times New Roman" w:cs="Times New Roman"/>
          <w:sz w:val="23"/>
        </w:rPr>
        <w:t>2.2 Why totals, dispersion and price comparisons differ</w:t>
      </w:r>
    </w:p>
    <w:p>
      <w:pPr>
        <w:pStyle w:val="BodyText"/>
        <w:keepNext w:val="0"/>
        <w:keepLines/>
        <w:spacing w:line="269" w:lineRule="auto" w:before="0" w:after="120"/>
        <w:ind w:left="0" w:right="0" w:firstLine="0"/>
      </w:pPr>
      <w:r>
        <w:rPr>
          <w:rFonts w:ascii="Times New Roman" w:hAnsi="Times New Roman" w:cs="Times New Roman"/>
          <w:sz w:val="23"/>
        </w:rPr>
        <w:t>Scale, participation and dispersion convey different aspects of an auction. Auction volume measures supply, the submitted-to-auction volume comparison describes demand coverage, and participant counts describe the breadth of recorded participation. Quantity dispersion adds information about how the underlying reported quantities vary around their mean. Holding totals and counts fixed does not, as an algebraic matter, fix that variation. This motivates including the conventional scale and participation variables in the comparison, rather than interpreting a large dispersion ratio as an automatically distinct economic factor.</w:t>
      </w:r>
    </w:p>
    <w:p>
      <w:pPr>
        <w:pStyle w:val="BodyText"/>
        <w:keepNext w:val="0"/>
        <w:spacing w:line="269" w:lineRule="auto" w:before="0" w:after="120"/>
        <w:ind w:left="0" w:right="0" w:firstLine="0"/>
      </w:pPr>
      <w:r>
        <w:rPr>
          <w:rFonts w:ascii="Times New Roman" w:hAnsi="Times New Roman" w:cs="Times New Roman"/>
          <w:sz w:val="23"/>
        </w:rPr>
        <w:t>Normalization introduces a second issue. Dividing a reported standard deviation by a reported mean makes the ratio dimensionless, but does not authenticate the statistical population or eliminate dependence on quantities and counts in the denominator. Ratios can generate misleading regression interpretations when their components are ignored (Kronmal 1993). Our main definitions preserve the reported fields, while a separate log-scale identity check makes the role of constructed denominators explicit. The identity check is an explanation of the estimand, not a new economic result or proof that all mechanical links have been removed.</w:t>
      </w:r>
    </w:p>
    <w:p>
      <w:pPr>
        <w:pStyle w:val="BodyText"/>
        <w:keepNext w:val="0"/>
        <w:spacing w:line="269" w:lineRule="auto" w:before="0" w:after="120"/>
        <w:ind w:left="0" w:right="0" w:firstLine="0"/>
      </w:pPr>
      <w:r>
        <w:rPr>
          <w:rFonts w:ascii="Times New Roman" w:hAnsi="Times New Roman" w:cs="Times New Roman"/>
          <w:sz w:val="23"/>
        </w:rPr>
        <w:t>A price comparison introduces a third dimension. The signed deviation locates the official reported comparison on either side of its reported zero; the absolute deviation describes its distance from zero. A negative conditional association with the first does not logically imply a negative association with the second. Lowering a signed value may move it toward zero, through zero or farther from zero. We therefore retain a separate absolute-outcome specification instead of treating a signed coefficient as an efficiency statistic. Because the precise subtraction-and-denominator convention has not been independently established for the complete report set, economic labels such as an auction discount are not substituted for the official signed field.</w:t>
      </w:r>
    </w:p>
    <w:p>
      <w:pPr>
        <w:pStyle w:val="BodyText"/>
        <w:keepNext w:val="0"/>
        <w:spacing w:line="269" w:lineRule="auto" w:before="0" w:after="120"/>
        <w:ind w:left="0" w:right="0" w:firstLine="0"/>
      </w:pPr>
      <w:r>
        <w:rPr>
          <w:rFonts w:ascii="Times New Roman" w:hAnsi="Times New Roman" w:cs="Times New Roman"/>
          <w:sz w:val="23"/>
        </w:rPr>
        <w:t>There is also no unambiguous directional prediction from the public quantity moments alone. More dispersed submitted quantities could accompany different demand compositions, bidding choices or market conditions. Those explanations need not imply the same signed price comparison, and the data do not separate them. Our price question is consequently a two-sided test of an additional conditional association, not a directional test of a structural auction model. Reporting the sign, magnitude and uncertainty gives the empirical content of that question without assigning the estimate to an unobserved mechanism.</w:t>
      </w:r>
    </w:p>
    <w:p>
      <w:pPr>
        <w:pStyle w:val="Heading2"/>
        <w:ind w:left="0" w:right="0" w:firstLine="0"/>
      </w:pPr>
      <w:r>
        <w:rPr>
          <w:rFonts w:ascii="Times New Roman" w:hAnsi="Times New Roman" w:cs="Times New Roman"/>
          <w:sz w:val="23"/>
        </w:rPr>
        <w:t>2.3 Relation to auction and measurement research</w:t>
      </w:r>
    </w:p>
    <w:p>
      <w:pPr>
        <w:pStyle w:val="BodyText"/>
        <w:keepNext w:val="0"/>
        <w:keepLines/>
        <w:spacing w:line="269" w:lineRule="auto" w:before="0" w:after="120"/>
        <w:ind w:left="0" w:right="0" w:firstLine="0"/>
      </w:pPr>
      <w:r>
        <w:rPr>
          <w:rFonts w:ascii="Times New Roman" w:hAnsi="Times New Roman" w:cs="Times New Roman"/>
          <w:sz w:val="23"/>
        </w:rPr>
        <w:t>Bosco (2023), first published online in 2022, studies EUA auction prices and returns using generalized autoregressive conditional heteroskedasticity (GARCH) specifications. Participation, demand coverage and the maximum-minus-minimum submitted price enter that analysis. Our price baseline retains these dimensions, including the submitted-price range, while the focal addition is a quantity-dispersion ratio. The outcome also differs: we analyse the official-reported auction-to-secondary-market comparison rather than return volatility. This distinction defines a specific empirical extension; it does not establish that auction characteristics or primary–secondary price relationships have not previously been studied.</w:t>
      </w:r>
    </w:p>
    <w:p>
      <w:pPr>
        <w:pStyle w:val="BodyText"/>
        <w:keepNext w:val="0"/>
        <w:spacing w:line="269" w:lineRule="auto" w:before="0" w:after="120"/>
        <w:ind w:left="0" w:right="0" w:firstLine="0"/>
      </w:pPr>
      <w:r>
        <w:rPr>
          <w:rFonts w:ascii="Times New Roman" w:hAnsi="Times New Roman" w:cs="Times New Roman"/>
          <w:sz w:val="23"/>
        </w:rPr>
        <w:t>Niu and Liu (2024) forecast EUA futures volatility, whereas all our focal fields are observed in reports of completed auctions. Otsubo (2026) examines futures–exchange-traded-fund (ETF) price discovery and a daily auction–futures–ETF comparison aligned to 16:00 UK time. We use the comparison already printed in reports of the German Emissions Trading Authority (DEHSt 2020–2025). We neither reconstruct synchronous native quotes nor estimate cross-venue information shares. Accordingly, our evidence is not a forecasting comparison or a direct replication of either price study.</w:t>
      </w:r>
    </w:p>
    <w:p>
      <w:pPr>
        <w:pStyle w:val="BodyText"/>
        <w:keepNext w:val="0"/>
        <w:spacing w:line="269" w:lineRule="auto" w:before="0" w:after="120"/>
        <w:ind w:left="0" w:right="0" w:firstLine="0"/>
      </w:pPr>
      <w:r>
        <w:rPr>
          <w:rFonts w:ascii="Times New Roman" w:hAnsi="Times New Roman" w:cs="Times New Roman"/>
          <w:sz w:val="23"/>
        </w:rPr>
        <w:t>Official reporting is the closest source of the measured objects. The Commission distinguishes individual-auction moments from monthly aggregates, and describes bid and award means using participating and successful bidders, respectively (European Commission 2024). ESMA (2025) treats participation and concentration as separate indicators. The DEHSt reports supply the German price-comparison layer. These are established reporting dimensions; our contribution concerns their conditional empirical relationships and limitations rather than the creation of new official statistics.</w:t>
      </w:r>
    </w:p>
    <w:p>
      <w:pPr>
        <w:pStyle w:val="BodyText"/>
        <w:keepNext w:val="0"/>
        <w:spacing w:line="269" w:lineRule="auto" w:before="0" w:after="120"/>
        <w:ind w:left="0" w:right="0" w:firstLine="0"/>
      </w:pPr>
      <w:r>
        <w:rPr>
          <w:rFonts w:ascii="Times New Roman" w:hAnsi="Times New Roman" w:cs="Times New Roman"/>
          <w:sz w:val="23"/>
        </w:rPr>
        <w:t>A broader measurement question is how an indicator connects to outcomes beyond the components from which it is constructed. Hackl et al. (2026), for example, relate search-based product measures to attributes and prices while retaining a descriptive interpretation of their price equations. Our German price exercise plays a narrower role: it asks whether one reported quantity measure has an association with a distinct outcome, not whether the measure recovers an underlying economic construct. The multiple-proxy framework of Meijer et al. (2025) requires additional identification and normalization conditions for latent-variable interpretation. No such factor model or measurement-validation claim is imposed here.</w:t>
      </w:r>
    </w:p>
    <w:p>
      <w:pPr>
        <w:pStyle w:val="Heading1"/>
        <w:ind w:left="0" w:right="0" w:firstLine="0"/>
      </w:pPr>
      <w:r>
        <w:rPr>
          <w:rFonts w:ascii="Times New Roman" w:hAnsi="Times New Roman" w:cs="Times New Roman"/>
          <w:sz w:val="26"/>
        </w:rPr>
        <w:t>3 Data, measurement and sample hierarchy</w:t>
      </w:r>
    </w:p>
    <w:p>
      <w:pPr>
        <w:pStyle w:val="Heading2"/>
        <w:keepLines/>
        <w:ind w:left="0" w:right="0" w:firstLine="0"/>
      </w:pPr>
      <w:r>
        <w:rPr>
          <w:rFonts w:ascii="Times New Roman" w:hAnsi="Times New Roman" w:cs="Times New Roman"/>
          <w:sz w:val="23"/>
        </w:rPr>
        <w:t>3.1 Historical auction archive</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Caption"/>
        <w:keepNext/>
        <w:keepLines/>
        <w:ind w:left="0" w:right="0" w:firstLine="0"/>
      </w:pPr>
      <w:r>
        <w:rPr>
          <w:rFonts w:ascii="Times New Roman" w:hAnsi="Times New Roman" w:cs="Times New Roman"/>
          <w:b/>
          <w:sz w:val="21"/>
        </w:rPr>
        <w:t>Table 1</w:t>
      </w:r>
      <w:r>
        <w:rPr>
          <w:rFonts w:ascii="Times New Roman" w:hAnsi="Times New Roman" w:cs="Times New Roman"/>
          <w:b w:val="0"/>
          <w:sz w:val="21"/>
        </w:rPr>
        <w:t xml:space="preserve"> Sample composition by year and reporting series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805"/>
        <w:gridCol w:w="1805"/>
        <w:gridCol w:w="1805"/>
        <w:gridCol w:w="1805"/>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Year</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EU</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DE</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PL</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Total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139</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2021</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223</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214</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840</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1281</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keepNext w:val="0"/>
        <w:widowControl/>
        <w:spacing w:line="269" w:lineRule="auto" w:before="0" w:after="120"/>
        <w:ind w:left="0" w:right="0" w:firstLine="0"/>
      </w:pPr>
      <w:r>
        <w:rPr>
          <w:rFonts w:ascii="Times New Roman" w:hAnsi="Times New Roman" w:cs="Times New Roman"/>
          <w:sz w:val="23"/>
        </w:rP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keepNext w:val="0"/>
        <w:widowControl/>
        <w:spacing w:line="269" w:lineRule="auto" w:before="0" w:after="120"/>
        <w:ind w:left="0" w:right="0" w:firstLine="0"/>
      </w:pPr>
      <w:r>
        <w:rPr>
          <w:rFonts w:ascii="Times New Roman" w:hAnsi="Times New Roman" w:cs="Times New Roman"/>
          <w:sz w:val="23"/>
        </w:rP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BodyText"/>
        <w:keepNext w:val="0"/>
        <w:spacing w:line="269" w:lineRule="auto" w:before="0" w:after="120"/>
        <w:ind w:left="0" w:right="0" w:firstLine="0"/>
      </w:pPr>
      <w:r>
        <w:rPr>
          <w:rFonts w:ascii="Times New Roman" w:hAnsi="Times New Roman" w:cs="Times New Roman"/>
          <w:sz w:val="23"/>
        </w:rPr>
        <w:t>The sample restrictions separate eligibility from influence. A record is retained because its product, series and success status satisfy the stated rule, not because its observed ratio fits the proposed relationship. Conversely, a cancelled auction is not converted into a zero-dispersion outcome. This is a selected population of successful auctions, and the findings do not describe latent demand or unsuccessful auctions. The archive permits within-market comparisons across reporting series and dates, rather than independent comparisons across three carbon markets.</w:t>
      </w:r>
    </w:p>
    <w:p>
      <w:pPr>
        <w:pStyle w:val="Heading2"/>
        <w:ind w:left="0" w:right="0" w:firstLine="0"/>
      </w:pPr>
      <w:r>
        <w:rPr>
          <w:rFonts w:ascii="Times New Roman" w:hAnsi="Times New Roman" w:cs="Times New Roman"/>
          <w:sz w:val="23"/>
        </w:rPr>
        <w:t>3.2 Reported quantity measures and descriptive context</w:t>
      </w:r>
    </w:p>
    <w:p>
      <w:pPr>
        <w:pStyle w:val="BodyText"/>
        <w:keepNext/>
        <w:keepLines/>
        <w:widowControl/>
        <w:spacing w:line="269" w:lineRule="auto" w:before="0" w:after="120"/>
        <w:ind w:left="0" w:right="0" w:firstLine="0"/>
      </w:pPr>
      <w:r>
        <w:rPr>
          <w:rFonts w:ascii="Times New Roman" w:hAnsi="Times New Roman" w:cs="Times New Roman"/>
          <w:sz w:val="23"/>
        </w:rPr>
        <w:t xml:space="preserve">Let</w:t>
      </w:r>
      <w:r>
        <w:rPr>
          <w:rFonts w:ascii="Times New Roman" w:hAnsi="Times New Roman" w:cs="Times New Roman"/>
          <w:sz w:val="23"/>
        </w:rPr>
        <w:t xml:space="preserve"> </w:t>
      </w:r>
      <m:oMath>
        <m:sSubSup>
          <m:e>
            <m:r>
              <m:t>μ</m:t>
            </m:r>
          </m:e>
          <m:sub>
            <m:r>
              <m:t>t</m:t>
            </m:r>
          </m:sub>
          <m:sup>
            <m:r>
              <m:t>b</m:t>
            </m:r>
          </m:sup>
        </m:sSubSup>
        <m:r>
          <m:rPr>
            <m:sty m:val="p"/>
          </m:rPr>
          <m:t>,</m:t>
        </m:r>
        <m:sSubSup>
          <m:e>
            <m:r>
              <m:t>s</m:t>
            </m:r>
          </m:e>
          <m:sub>
            <m:r>
              <m:t>t</m:t>
            </m:r>
          </m:sub>
          <m:sup>
            <m:r>
              <m:t>b</m:t>
            </m:r>
          </m:sup>
        </m:sSubSup>
      </m:oMath>
      <w:r>
        <w:rPr>
          <w:rFonts w:ascii="Times New Roman" w:hAnsi="Times New Roman" w:cs="Times New Roman"/>
          <w:sz w:val="23"/>
        </w:rPr>
        <w:t xml:space="preserve"> </w:t>
      </w:r>
      <w:r>
        <w:rPr>
          <w:rFonts w:ascii="Times New Roman" w:hAnsi="Times New Roman" w:cs="Times New Roman"/>
          <w:sz w:val="23"/>
        </w:rPr>
        <w:t xml:space="preserve">denote the reported mean and standard deviation of bid volume, and</w:t>
      </w:r>
      <w:r>
        <w:rPr>
          <w:rFonts w:ascii="Times New Roman" w:hAnsi="Times New Roman" w:cs="Times New Roman"/>
          <w:sz w:val="23"/>
        </w:rPr>
        <w:t xml:space="preserve"> </w:t>
      </w:r>
      <m:oMath>
        <m:sSubSup>
          <m:e>
            <m:r>
              <m:t>μ</m:t>
            </m:r>
          </m:e>
          <m:sub>
            <m:r>
              <m:t>t</m:t>
            </m:r>
          </m:sub>
          <m:sup>
            <m:r>
              <m:t>w</m:t>
            </m:r>
          </m:sup>
        </m:sSubSup>
        <m:r>
          <m:rPr>
            <m:sty m:val="p"/>
          </m:rPr>
          <m:t>,</m:t>
        </m:r>
        <m:sSubSup>
          <m:e>
            <m:r>
              <m:t>s</m:t>
            </m:r>
          </m:e>
          <m:sub>
            <m:r>
              <m:t>t</m:t>
            </m:r>
          </m:sub>
          <m:sup>
            <m:r>
              <m:t>w</m:t>
            </m:r>
          </m:sup>
        </m:sSubSup>
      </m:oMath>
      <w:r>
        <w:rPr>
          <w:rFonts w:ascii="Times New Roman" w:hAnsi="Times New Roman" w:cs="Times New Roman"/>
          <w:sz w:val="23"/>
        </w:rPr>
        <w:t xml:space="preserve"> </w:t>
      </w:r>
      <w:r>
        <w:rPr>
          <w:rFonts w:ascii="Times New Roman" w:hAnsi="Times New Roman" w:cs="Times New Roman"/>
          <w:sz w:val="23"/>
        </w:rPr>
        <w:t xml:space="preserve">the corresponding reported moments of volume won. Define</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cs="Times New Roman"/>
          <w:sz w:val="23"/>
        </w:rPr>
        <w:tab/>
        <w:t>(1)</w:t>
      </w:r>
    </w:p>
    <w:p>
      <w:pPr>
        <w:pStyle w:val="BodyText"/>
        <w:keepNext w:val="0"/>
        <w:widowControl/>
        <w:spacing w:line="269" w:lineRule="auto" w:before="0" w:after="120"/>
        <w:ind w:left="0" w:right="0" w:firstLine="0"/>
      </w:pPr>
      <w:r>
        <w:rPr>
          <w:rFonts w:ascii="Times New Roman" w:hAnsi="Times New Roman" w:cs="Times New Roman"/>
          <w:sz w:val="23"/>
        </w:rPr>
        <w:t xml:space="preserve">We call these</w:t>
      </w:r>
      <w:r>
        <w:rPr>
          <w:rFonts w:ascii="Times New Roman" w:hAnsi="Times New Roman" w:cs="Times New Roman"/>
          <w:sz w:val="23"/>
        </w:rPr>
        <w:t xml:space="preserve"> </w:t>
      </w:r>
      <w:r>
        <w:rPr>
          <w:rFonts w:ascii="Times New Roman" w:hAnsi="Times New Roman" w:cs="Times New Roman"/>
          <w:i/>
          <w:iCs/>
          <w:sz w:val="23"/>
        </w:rPr>
        <w:t xml:space="preserve">reported dispersion ratios</w:t>
      </w:r>
      <w:r>
        <w:rPr>
          <w:rFonts w:ascii="Times New Roman" w:hAnsi="Times New Roman" w:cs="Times New Roman"/>
          <w:sz w:val="23"/>
        </w:rP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val="0"/>
        <w:spacing w:line="269" w:lineRule="auto" w:before="0" w:after="120"/>
        <w:ind w:left="0" w:right="0" w:firstLine="0"/>
      </w:pPr>
      <w:r>
        <w:rPr>
          <w:rFonts w:ascii="Times New Roman" w:hAnsi="Times New Roman" w:cs="Times New Roman"/>
          <w:sz w:val="23"/>
        </w:rPr>
        <w:t>For terminology, we use “bid ratio” and “award ratio” only as short names for the reported standard-deviation-to-mean ratios in (1). The word “reported” is substantive: it preserves the distinction between arithmetic construction and population validation. Counts, means and standard deviations can be numerically consistent with the displayed precision while the precise population, treatment of zero awards or variance divisor remains incompletely documented. Our comparisons therefore remain at the report level rather than being relabelled as firm concentration or within-population inequality.</w:t>
      </w:r>
    </w:p>
    <w:p>
      <w:pPr>
        <w:pStyle w:val="BodyText"/>
        <w:keepNext w:val="0"/>
        <w:widowControl/>
        <w:spacing w:line="269" w:lineRule="auto" w:before="0" w:after="120"/>
        <w:ind w:left="0" w:right="0" w:firstLine="0"/>
      </w:pPr>
      <w:r>
        <w:rPr>
          <w:rFonts w:ascii="Times New Roman" w:hAnsi="Times New Roman" w:cs="Times New Roman"/>
          <w:sz w:val="23"/>
        </w:rP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Caption"/>
        <w:keepNext/>
        <w:keepLines/>
        <w:ind w:left="0" w:right="0" w:firstLine="0"/>
      </w:pPr>
      <w:r>
        <w:rPr>
          <w:rFonts w:ascii="Times New Roman" w:hAnsi="Times New Roman" w:cs="Times New Roman"/>
          <w:b/>
          <w:sz w:val="21"/>
        </w:rPr>
        <w:t>Table 2</w:t>
      </w:r>
      <w:r>
        <w:rPr>
          <w:rFonts w:ascii="Times New Roman" w:hAnsi="Times New Roman" w:cs="Times New Roman"/>
          <w:b w:val="0"/>
          <w:sz w:val="21"/>
        </w:rPr>
        <w:t xml:space="preserve"> Descriptive statistics of the successful-auction sample</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203"/>
        <w:gridCol w:w="1203"/>
        <w:gridCol w:w="1203"/>
        <w:gridCol w:w="1203"/>
        <w:gridCol w:w="1203"/>
        <w:gridCol w:w="120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Variable</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Q1</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Median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Q3</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Min.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Max.</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Bid ratio</w:t>
            </w:r>
            <w:r>
              <w:rPr>
                <w:rFonts w:ascii="Times New Roman" w:hAnsi="Times New Roman" w:cs="Times New Roman"/>
                <w:b w:val="0"/>
                <w:sz w:val="20"/>
              </w:rPr>
              <w:t xml:space="preserve"> </w:t>
            </w:r>
            <m:oMath>
              <m:sSup>
                <m:e>
                  <m:r>
                    <m:t>r</m:t>
                  </m:r>
                </m:e>
                <m:sup>
                  <m:r>
                    <m:t>b</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1.404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1.202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1.387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1.579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0.847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2.622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Award ratio</w:t>
            </w:r>
            <w:r>
              <w:rPr>
                <w:rFonts w:ascii="Times New Roman" w:hAnsi="Times New Roman" w:cs="Times New Roman"/>
                <w:b w:val="0"/>
                <w:sz w:val="20"/>
              </w:rPr>
              <w:t xml:space="preserve"> </w:t>
            </w:r>
            <m:oMath>
              <m:sSup>
                <m:e>
                  <m:r>
                    <m:t>r</m:t>
                  </m:r>
                </m:e>
                <m:sup>
                  <m:r>
                    <m:t>w</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1.215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1.399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1.598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0.443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2.707</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Cover ratio</w:t>
            </w:r>
            <w:r>
              <w:rPr>
                <w:rFonts w:ascii="Times New Roman" w:hAnsi="Times New Roman" w:cs="Times New Roman"/>
                <w:b w:val="0"/>
                <w:sz w:val="20"/>
              </w:rPr>
              <w:t xml:space="preserve"> </w:t>
            </w:r>
            <m:oMath>
              <m:r>
                <m:t>R</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1.825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1.540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1.740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2.030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1.010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3.780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Auction volume</w:t>
            </w:r>
            <w:r>
              <w:rPr>
                <w:rFonts w:ascii="Times New Roman" w:hAnsi="Times New Roman" w:cs="Times New Roman"/>
                <w:b w:val="0"/>
                <w:sz w:val="20"/>
              </w:rPr>
              <w:t xml:space="preserve"> </w:t>
            </w:r>
            <m:oMath>
              <m:r>
                <m:t>V</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2.675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2.296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2.651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3.245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0.970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6.399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Submitted volume</w:t>
            </w:r>
            <w:r>
              <w:rPr>
                <w:rFonts w:ascii="Times New Roman" w:hAnsi="Times New Roman" w:cs="Times New Roman"/>
                <w:b w:val="0"/>
                <w:sz w:val="20"/>
              </w:rPr>
              <w:t xml:space="preserve"> </w:t>
            </w:r>
            <m:oMath>
              <m:r>
                <m:t>B</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4.717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3.986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4.736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5.321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1.937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12.899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bidders</w:t>
            </w:r>
            <w:r>
              <w:rPr>
                <w:rFonts w:ascii="Times New Roman" w:hAnsi="Times New Roman" w:cs="Times New Roman"/>
                <w:b w:val="0"/>
                <w:sz w:val="20"/>
              </w:rPr>
              <w:t xml:space="preserve"> </w:t>
            </w:r>
            <m:oMath>
              <m:r>
                <m:t>N</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22.663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Successful bidders</w:t>
            </w:r>
            <w:r>
              <w:rPr>
                <w:rFonts w:ascii="Times New Roman" w:hAnsi="Times New Roman" w:cs="Times New Roman"/>
                <w:b w:val="0"/>
                <w:sz w:val="20"/>
              </w:rPr>
              <w:t xml:space="preserve"> </w:t>
            </w:r>
            <m:oMath>
              <m:r>
                <m:t>S</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16.878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All rows use 1,281 auctions.</w:t>
      </w:r>
      <w:r>
        <w:rPr>
          <w:rFonts w:ascii="Times New Roman" w:hAnsi="Times New Roman" w:cs="Times New Roman"/>
          <w:sz w:val="19"/>
        </w:rPr>
        <w:t xml:space="preserve"> </w:t>
      </w:r>
      <m:oMath>
        <m:r>
          <m:t>V</m:t>
        </m:r>
      </m:oMath>
      <w:r>
        <w:rPr>
          <w:rFonts w:ascii="Times New Roman" w:hAnsi="Times New Roman" w:cs="Times New Roman"/>
          <w:sz w:val="19"/>
        </w:rPr>
        <w:t xml:space="preserve"> </w:t>
      </w:r>
      <w:r>
        <w:rPr>
          <w:rFonts w:ascii="Times New Roman" w:hAnsi="Times New Roman" w:cs="Times New Roman"/>
          <w:sz w:val="19"/>
        </w:rPr>
        <w:t xml:space="preserve">and</w:t>
      </w:r>
      <w:r>
        <w:rPr>
          <w:rFonts w:ascii="Times New Roman" w:hAnsi="Times New Roman" w:cs="Times New Roman"/>
          <w:sz w:val="19"/>
        </w:rPr>
        <w:t xml:space="preserve"> </w:t>
      </w:r>
      <m:oMath>
        <m:r>
          <m:t>B</m:t>
        </m:r>
      </m:oMath>
      <w:r>
        <w:rPr>
          <w:rFonts w:ascii="Times New Roman" w:hAnsi="Times New Roman" w:cs="Times New Roman"/>
          <w:sz w:val="19"/>
        </w:rPr>
        <w:t xml:space="preserve"> </w:t>
      </w:r>
      <w:r>
        <w:rPr>
          <w:rFonts w:ascii="Times New Roman" w:hAnsi="Times New Roman" w:cs="Times New Roman"/>
          <w:sz w:val="19"/>
        </w:rPr>
        <w:t xml:space="preserve">are in million tCO2,</w:t>
      </w:r>
      <w:r>
        <w:rPr>
          <w:rFonts w:ascii="Times New Roman" w:hAnsi="Times New Roman" w:cs="Times New Roman"/>
          <w:sz w:val="19"/>
        </w:rPr>
        <w:t xml:space="preserve"> </w:t>
      </w:r>
      <m:oMath>
        <m:r>
          <m:t>N</m:t>
        </m:r>
      </m:oMath>
      <w:r>
        <w:rPr>
          <w:rFonts w:ascii="Times New Roman" w:hAnsi="Times New Roman" w:cs="Times New Roman"/>
          <w:sz w:val="19"/>
        </w:rPr>
        <w:t xml:space="preserve"> </w:t>
      </w:r>
      <w:r>
        <w:rPr>
          <w:rFonts w:ascii="Times New Roman" w:hAnsi="Times New Roman" w:cs="Times New Roman"/>
          <w:sz w:val="19"/>
        </w:rPr>
        <w:t xml:space="preserve">and</w:t>
      </w:r>
      <w:r>
        <w:rPr>
          <w:rFonts w:ascii="Times New Roman" w:hAnsi="Times New Roman" w:cs="Times New Roman"/>
          <w:sz w:val="19"/>
        </w:rPr>
        <w:t xml:space="preserve"> </w:t>
      </w:r>
      <m:oMath>
        <m:r>
          <m:t>S</m:t>
        </m:r>
      </m:oMath>
      <w:r>
        <w:rPr>
          <w:rFonts w:ascii="Times New Roman" w:hAnsi="Times New Roman" w:cs="Times New Roman"/>
          <w:sz w:val="19"/>
        </w:rPr>
        <w:t xml:space="preserve"> </w:t>
      </w:r>
      <w:r>
        <w:rPr>
          <w:rFonts w:ascii="Times New Roman" w:hAnsi="Times New Roman" w:cs="Times New Roman"/>
          <w:sz w:val="19"/>
        </w:rPr>
        <w:t xml:space="preserve">are bidder counts, and the three ratios are dimensionless.</w:t>
      </w:r>
      <w:r>
        <w:rPr>
          <w:rFonts w:ascii="Times New Roman" w:hAnsi="Times New Roman" w:cs="Times New Roman"/>
          <w:sz w:val="19"/>
        </w:rPr>
        <w:t xml:space="preserve"> </w:t>
      </w:r>
      <m:oMath>
        <m:r>
          <m:t>B</m:t>
        </m:r>
      </m:oMath>
      <w:r>
        <w:rPr>
          <w:rFonts w:ascii="Times New Roman" w:hAnsi="Times New Roman" w:cs="Times New Roman"/>
          <w:sz w:val="19"/>
        </w:rPr>
        <w:t xml:space="preserve"> </w:t>
      </w:r>
      <w:r>
        <w:rPr>
          <w:rFonts w:ascii="Times New Roman" w:hAnsi="Times New Roman" w:cs="Times New Roman"/>
          <w:sz w:val="19"/>
        </w:rPr>
        <w:t xml:space="preserve">maps to the source field</w:t>
      </w:r>
      <w:r>
        <w:rPr>
          <w:rFonts w:ascii="Times New Roman" w:hAnsi="Times New Roman" w:cs="Times New Roman"/>
          <w:sz w:val="19"/>
        </w:rPr>
        <w:t xml:space="preserve"> </w:t>
      </w:r>
      <w:r>
        <w:rPr>
          <w:rFonts w:ascii="Times New Roman" w:hAnsi="Times New Roman" w:cs="Times New Roman"/>
          <w:sz w:val="19"/>
        </w:rPr>
        <w:t xml:space="preserve">“</w:t>
      </w:r>
      <w:r>
        <w:rPr>
          <w:rFonts w:ascii="Times New Roman" w:hAnsi="Times New Roman" w:cs="Times New Roman"/>
          <w:sz w:val="19"/>
        </w:rPr>
        <w:t xml:space="preserve">Total Amount of Bids</w:t>
      </w:r>
      <w:r>
        <w:rPr>
          <w:rFonts w:ascii="Times New Roman" w:hAnsi="Times New Roman" w:cs="Times New Roman"/>
          <w:sz w:val="19"/>
        </w:rPr>
        <w:t xml:space="preserve">”</w:t>
      </w:r>
      <w:r>
        <w:rPr>
          <w:rFonts w:ascii="Times New Roman" w:hAnsi="Times New Roman" w:cs="Times New Roman"/>
          <w:sz w:val="19"/>
        </w:rPr>
        <w:t xml:space="preserve"> </w:t>
      </w:r>
      <w:r>
        <w:rPr>
          <w:rFonts w:ascii="Times New Roman" w:hAnsi="Times New Roman" w:cs="Times New Roman"/>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keepNext w:val="0"/>
        <w:widowControl/>
        <w:spacing w:line="269" w:lineRule="auto" w:before="0" w:after="120"/>
        <w:ind w:left="0" w:right="0" w:firstLine="0"/>
      </w:pPr>
      <w:r>
        <w:rPr>
          <w:rFonts w:ascii="Times New Roman" w:hAnsi="Times New Roman" w:cs="Times New Roman"/>
          <w:sz w:val="23"/>
        </w:rP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40"/>
        <w:jc w:val="center"/>
      </w:pPr>
      <w:r>
        <w:rPr>
          <w:rFonts w:ascii="Times New Roman" w:hAnsi="Times New Roman" w:cs="Times New Roman"/>
          <w:sz w:val="23"/>
        </w:rP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Caption"/>
        <w:keepNext w:val="0"/>
        <w:keepLines/>
        <w:widowControl/>
        <w:spacing w:line="250" w:lineRule="auto" w:after="160"/>
        <w:ind w:left="0" w:right="0" w:firstLine="0"/>
      </w:pPr>
      <w:r>
        <w:rPr>
          <w:rFonts w:ascii="Times New Roman" w:hAnsi="Times New Roman" w:cs="Times New Roman"/>
          <w:b/>
          <w:bCs/>
          <w:sz w:val="21"/>
        </w:rPr>
        <w:t xml:space="preserve">Fig. 1</w:t>
      </w:r>
      <w:r>
        <w:rPr>
          <w:rFonts w:ascii="Times New Roman" w:hAnsi="Times New Roman" w:cs="Times New Roman"/>
          <w:b w:val="0"/>
          <w:sz w:val="21"/>
        </w:rPr>
        <w:t xml:space="preserve"> </w:t>
      </w:r>
      <w:r>
        <w:rPr>
          <w:rFonts w:ascii="Times New Roman" w:hAnsi="Times New Roman" w:cs="Times New Roman"/>
          <w:b w:val="0"/>
          <w:sz w:val="21"/>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p>
      <w:pPr>
        <w:pStyle w:val="BodyText"/>
        <w:keepNext w:val="0"/>
        <w:widowControl/>
        <w:spacing w:line="269" w:lineRule="auto" w:before="0" w:after="120"/>
        <w:ind w:left="0" w:right="0" w:firstLine="0"/>
      </w:pPr>
      <w:r>
        <w:rPr>
          <w:rFonts w:ascii="Times New Roman" w:hAnsi="Times New Roman" w:cs="Times New Roman"/>
          <w:sz w:val="23"/>
        </w:rPr>
        <w:t xml:space="preserve">Reported means are numerically consistent with total submitted volume divided by</w:t>
      </w:r>
      <w:r>
        <w:rPr>
          <w:rFonts w:ascii="Times New Roman" w:hAnsi="Times New Roman" w:cs="Times New Roman"/>
          <w:sz w:val="23"/>
        </w:rPr>
        <w:t xml:space="preserve"> </w:t>
      </w:r>
      <m:oMath>
        <m:r>
          <m:t>N</m:t>
        </m:r>
      </m:oMath>
      <w:r>
        <w:rPr>
          <w:rFonts w:ascii="Times New Roman" w:hAnsi="Times New Roman" w:cs="Times New Roman"/>
          <w:sz w:val="23"/>
        </w:rPr>
        <w:t xml:space="preserve"> </w:t>
      </w:r>
      <w:r>
        <w:rPr>
          <w:rFonts w:ascii="Times New Roman" w:hAnsi="Times New Roman" w:cs="Times New Roman"/>
          <w:sz w:val="23"/>
        </w:rPr>
        <w:t xml:space="preserve">and reported auction volume divided by</w:t>
      </w:r>
      <w:r>
        <w:rPr>
          <w:rFonts w:ascii="Times New Roman" w:hAnsi="Times New Roman" w:cs="Times New Roman"/>
          <w:sz w:val="23"/>
        </w:rPr>
        <w:t xml:space="preserve"> </w:t>
      </w:r>
      <m:oMath>
        <m:r>
          <m:t>S</m:t>
        </m:r>
      </m:oMath>
      <w:r>
        <w:rPr>
          <w:rFonts w:ascii="Times New Roman" w:hAnsi="Times New Roman" w:cs="Times New Roman"/>
          <w:sz w:val="23"/>
        </w:rP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p>
      <w:pPr>
        <w:pStyle w:val="Heading2"/>
        <w:ind w:left="0" w:right="0" w:firstLine="0"/>
      </w:pPr>
      <w:r>
        <w:rPr>
          <w:rFonts w:ascii="Times New Roman" w:hAnsi="Times New Roman" w:cs="Times New Roman"/>
          <w:sz w:val="23"/>
        </w:rPr>
        <w:t>3.3 Matched German price sample</w:t>
      </w:r>
    </w:p>
    <w:p>
      <w:pPr>
        <w:pStyle w:val="BodyText"/>
        <w:keepNext w:val="0"/>
        <w:keepLines/>
        <w:spacing w:line="269" w:lineRule="auto" w:before="0" w:after="120"/>
        <w:ind w:left="0" w:right="0" w:firstLine="0"/>
      </w:pPr>
      <w:r>
        <w:rPr>
          <w:rFonts w:ascii="Times New Roman" w:hAnsi="Times New Roman" w:cs="Times New Roman"/>
          <w:sz w:val="23"/>
        </w:rPr>
        <w:t>The price extension pairs the EEX quantity fields with comparisons printed in DEHSt quarterly reports for 2020–2025. Source reconciliation identifies 275 German successful auctions across all 24 quarters. The prefit source restrictions quarantine 35 observations for reference-footnote or date inconsistencies, leaving 240 auctions in 21 quarters. Of these, 236 use a last-best-bid reference and four a last-trade reference. The predefined no-row-flag subset contains 203 auctions in 18 quarters. These are subsets of the historical archive, not additional auctions or an independent market.</w:t>
      </w:r>
    </w:p>
    <w:p>
      <w:pPr>
        <w:pStyle w:val="BodyText"/>
        <w:keepNext w:val="0"/>
        <w:spacing w:line="269" w:lineRule="auto" w:before="0" w:after="120"/>
        <w:ind w:left="0" w:right="0" w:firstLine="0"/>
      </w:pPr>
      <w:r>
        <w:rPr>
          <w:rFonts w:ascii="Times New Roman" w:hAnsi="Times New Roman" w:cs="Times New Roman"/>
          <w:sz w:val="23"/>
        </w:rPr>
        <w:t>The source restrictions are not a filter on the size or sign of the price outcome. They exclude unresolved reference-footnote mappings in three quarters and one date conflict. The resulting gaps therefore belong to the definition of the price sample and are not filled by interpolation, by copying a monthly comparison or by substituting a daily closing price. Source flags are retained for the predefined subset comparison. Because exclusion removes different parts of the calendar, source-subset agreement is informative but cannot authenticate complete measurement invariance or eliminate selection on source availability.</w:t>
      </w:r>
    </w:p>
    <w:p>
      <w:pPr>
        <w:pStyle w:val="BodyText"/>
        <w:keepNext w:val="0"/>
        <w:spacing w:line="269" w:lineRule="auto" w:before="0" w:after="120"/>
        <w:ind w:left="0" w:right="0" w:firstLine="0"/>
      </w:pPr>
      <w:r>
        <w:rPr>
          <w:rFonts w:ascii="Times New Roman" w:hAnsi="Times New Roman" w:cs="Times New Roman"/>
          <w:sz w:val="23"/>
        </w:rPr>
        <w:t>The outcome is the official signed numeric percentage deviation multiplied by 100, expressed in basis points. A printed −0.07% is therefore represented as −7 basis points. The original signed number is preserved; no unreported denominator or native reference price is reconstructed from rounded values. The source column headed “Absolute” can contain a signed euro amount and is not made positive merely because of that label. Printed zero denotes equality at the report's display precision, not a missing observation, a no-trade state or proven equality of the underlying unrounded prices.</w:t>
      </w:r>
    </w:p>
    <w:p>
      <w:pPr>
        <w:pStyle w:val="BodyText"/>
        <w:keepNext w:val="0"/>
        <w:spacing w:line="269" w:lineRule="auto" w:before="0" w:after="120"/>
        <w:ind w:left="0" w:right="0" w:firstLine="0"/>
      </w:pPr>
      <w:r>
        <w:rPr>
          <w:rFonts w:ascii="Times New Roman" w:hAnsi="Times New Roman" w:cs="Times New Roman"/>
          <w:sz w:val="23"/>
        </w:rPr>
        <w:t>Table 3 supplies the unconditional context for the price analysis. Its signed mean is −2.80 basis points and its median is −7.00, with quartiles −29.00 and 17.25. The sample contains 142 negative, 92 positive and six reported-zero observations. Its absolute-deviation median is 25.00 basis points. These quantities help locate the fitted contrasts reported later, but they are not the same estimand: the descriptive distributions average over observed conditions, while the regression contrast holds a fitted conditioning set fixed. Dividing one by the other would not produce a procurement saving or an explained share of a causal effect.</w:t>
      </w:r>
    </w:p>
    <w:p>
      <w:pPr>
        <w:pStyle w:val="Caption"/>
        <w:keepNext/>
        <w:keepLines/>
        <w:ind w:left="0" w:right="0" w:firstLine="0"/>
      </w:pPr>
      <w:r>
        <w:rPr>
          <w:rFonts w:ascii="Times New Roman" w:hAnsi="Times New Roman" w:cs="Times New Roman"/>
          <w:b/>
          <w:sz w:val="21"/>
        </w:rPr>
        <w:t>Table 3</w:t>
      </w:r>
      <w:r>
        <w:rPr>
          <w:rFonts w:ascii="Times New Roman" w:hAnsi="Times New Roman" w:cs="Times New Roman"/>
          <w:b w:val="0"/>
          <w:sz w:val="21"/>
        </w:rPr>
        <w:t xml:space="preserve"> Descriptive context of the German reported-price sample</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2289"/>
        <w:gridCol w:w="1026"/>
        <w:gridCol w:w="1026"/>
        <w:gridCol w:w="2131"/>
        <w:gridCol w:w="1973"/>
        <w:gridCol w:w="1420"/>
      </w:tblGrid>
      <w:tr>
        <w:trPr>
          <w:tblHeader w:val="true"/>
          <w:cantSplit/>
        </w:trPr>
        <w:tc>
          <w:tcPr>
            <w:tcW w:type="dxa" w:w="2289"/>
            <w:vAlign w:val="center"/>
            <w:tcBorders>
              <w:bottom w:val="single" w:sz="6"/>
            </w:tcBorders>
          </w:tcPr>
          <w:p>
            <w:pPr>
              <w:keepNext/>
              <w:keepLines/>
              <w:spacing w:before="60" w:after="60" w:line="245" w:lineRule="auto"/>
              <w:jc w:val="left"/>
            </w:pPr>
            <w:r>
              <w:rPr>
                <w:rFonts w:ascii="Times New Roman" w:hAnsi="Times New Roman" w:cs="Times New Roman"/>
                <w:b/>
                <w:sz w:val="20"/>
              </w:rPr>
              <w:t>Outcome</w:t>
            </w:r>
          </w:p>
        </w:tc>
        <w:tc>
          <w:tcPr>
            <w:tcW w:type="dxa" w:w="1026"/>
            <w:vAlign w:val="center"/>
            <w:tcBorders>
              <w:bottom w:val="single" w:sz="6"/>
            </w:tcBorders>
          </w:tcPr>
          <w:p>
            <w:pPr>
              <w:keepNext/>
              <w:keepLines/>
              <w:spacing w:before="60" w:after="60" w:line="245" w:lineRule="auto"/>
              <w:jc w:val="right"/>
            </w:pPr>
            <w:r>
              <w:rPr>
                <w:rFonts w:ascii="Times New Roman" w:hAnsi="Times New Roman" w:cs="Times New Roman"/>
                <w:b/>
                <w:sz w:val="20"/>
              </w:rPr>
              <w:t>Mean</w:t>
            </w:r>
          </w:p>
        </w:tc>
        <w:tc>
          <w:tcPr>
            <w:tcW w:type="dxa" w:w="1026"/>
            <w:vAlign w:val="center"/>
            <w:tcBorders>
              <w:bottom w:val="single" w:sz="6"/>
            </w:tcBorders>
          </w:tcPr>
          <w:p>
            <w:pPr>
              <w:keepNext/>
              <w:keepLines/>
              <w:spacing w:before="60" w:after="60" w:line="245" w:lineRule="auto"/>
              <w:jc w:val="right"/>
            </w:pPr>
            <w:r>
              <w:rPr>
                <w:rFonts w:ascii="Times New Roman" w:hAnsi="Times New Roman" w:cs="Times New Roman"/>
                <w:b/>
                <w:sz w:val="20"/>
              </w:rPr>
              <w:t>Median</w:t>
            </w:r>
          </w:p>
        </w:tc>
        <w:tc>
          <w:tcPr>
            <w:tcW w:type="dxa" w:w="2131"/>
            <w:vAlign w:val="center"/>
            <w:tcBorders>
              <w:bottom w:val="single" w:sz="6"/>
            </w:tcBorders>
          </w:tcPr>
          <w:p>
            <w:pPr>
              <w:keepNext/>
              <w:keepLines/>
              <w:spacing w:before="60" w:after="60" w:line="245" w:lineRule="auto"/>
              <w:jc w:val="right"/>
            </w:pPr>
            <w:r>
              <w:rPr>
                <w:rFonts w:ascii="Times New Roman" w:hAnsi="Times New Roman" w:cs="Times New Roman"/>
                <w:b/>
                <w:sz w:val="20"/>
              </w:rPr>
              <w:t>Q1–Q3</w:t>
            </w:r>
          </w:p>
        </w:tc>
        <w:tc>
          <w:tcPr>
            <w:tcW w:type="dxa" w:w="1973"/>
            <w:vAlign w:val="center"/>
            <w:tcBorders>
              <w:bottom w:val="single" w:sz="6"/>
            </w:tcBorders>
          </w:tcPr>
          <w:p>
            <w:pPr>
              <w:keepNext/>
              <w:keepLines/>
              <w:spacing w:before="60" w:after="60" w:line="245" w:lineRule="auto"/>
              <w:jc w:val="right"/>
            </w:pPr>
            <w:r>
              <w:rPr>
                <w:rFonts w:ascii="Times New Roman" w:hAnsi="Times New Roman" w:cs="Times New Roman"/>
                <w:b/>
                <w:sz w:val="20"/>
              </w:rPr>
              <w:t>Range</w:t>
            </w:r>
          </w:p>
        </w:tc>
        <w:tc>
          <w:tcPr>
            <w:tcW w:type="dxa" w:w="1420"/>
            <w:vAlign w:val="center"/>
            <w:tcBorders>
              <w:bottom w:val="single" w:sz="6"/>
            </w:tcBorders>
          </w:tcPr>
          <w:p>
            <w:pPr>
              <w:keepNext/>
              <w:keepLines/>
              <w:spacing w:before="60" w:after="60" w:line="245" w:lineRule="auto"/>
              <w:jc w:val="right"/>
            </w:pPr>
            <w:r>
              <w:rPr>
                <w:rFonts w:ascii="Times New Roman" w:hAnsi="Times New Roman" w:cs="Times New Roman"/>
                <w:b/>
                <w:sz w:val="20"/>
              </w:rPr>
              <w:t>SD</w:t>
            </w:r>
          </w:p>
        </w:tc>
      </w:tr>
      <w:tr>
        <w:trPr>
          <w:cantSplit/>
        </w:trPr>
        <w:tc>
          <w:tcPr>
            <w:tcW w:type="dxa" w:w="2289"/>
            <w:vAlign w:val="center"/>
          </w:tcPr>
          <w:p>
            <w:pPr>
              <w:keepNext/>
              <w:keepLines/>
              <w:spacing w:before="60" w:after="60" w:line="245" w:lineRule="auto"/>
              <w:jc w:val="left"/>
            </w:pPr>
            <w:r>
              <w:rPr>
                <w:rFonts w:ascii="Times New Roman" w:hAnsi="Times New Roman" w:cs="Times New Roman"/>
                <w:b w:val="0"/>
                <w:sz w:val="20"/>
              </w:rPr>
              <w:t>Signed deviation</w:t>
            </w:r>
          </w:p>
        </w:tc>
        <w:tc>
          <w:tcPr>
            <w:tcW w:type="dxa" w:w="1026"/>
            <w:vAlign w:val="center"/>
          </w:tcPr>
          <w:p>
            <w:pPr>
              <w:keepNext/>
              <w:keepLines/>
              <w:spacing w:before="60" w:after="60" w:line="245" w:lineRule="auto"/>
              <w:jc w:val="right"/>
            </w:pPr>
            <w:r>
              <w:rPr>
                <w:rFonts w:ascii="Times New Roman" w:hAnsi="Times New Roman" w:cs="Times New Roman"/>
                <w:b w:val="0"/>
                <w:sz w:val="20"/>
              </w:rPr>
              <w:t>−2.80</w:t>
            </w:r>
          </w:p>
        </w:tc>
        <w:tc>
          <w:tcPr>
            <w:tcW w:type="dxa" w:w="1026"/>
            <w:vAlign w:val="center"/>
          </w:tcPr>
          <w:p>
            <w:pPr>
              <w:keepNext/>
              <w:keepLines/>
              <w:spacing w:before="60" w:after="60" w:line="245" w:lineRule="auto"/>
              <w:jc w:val="right"/>
            </w:pPr>
            <w:r>
              <w:rPr>
                <w:rFonts w:ascii="Times New Roman" w:hAnsi="Times New Roman" w:cs="Times New Roman"/>
                <w:b w:val="0"/>
                <w:sz w:val="20"/>
              </w:rPr>
              <w:t>−7.00</w:t>
            </w:r>
          </w:p>
        </w:tc>
        <w:tc>
          <w:tcPr>
            <w:tcW w:type="dxa" w:w="2131"/>
            <w:vAlign w:val="center"/>
          </w:tcPr>
          <w:p>
            <w:pPr>
              <w:keepNext/>
              <w:keepLines/>
              <w:spacing w:before="60" w:after="60" w:line="245" w:lineRule="auto"/>
              <w:jc w:val="right"/>
            </w:pPr>
            <w:r>
              <w:rPr>
                <w:rFonts w:ascii="Times New Roman" w:hAnsi="Times New Roman" w:cs="Times New Roman"/>
                <w:b w:val="0"/>
                <w:sz w:val="20"/>
              </w:rPr>
              <w:t>[−29.00, 17.25]</w:t>
            </w:r>
          </w:p>
        </w:tc>
        <w:tc>
          <w:tcPr>
            <w:tcW w:type="dxa" w:w="1973"/>
            <w:vAlign w:val="center"/>
          </w:tcPr>
          <w:p>
            <w:pPr>
              <w:keepNext/>
              <w:keepLines/>
              <w:spacing w:before="60" w:after="60" w:line="245" w:lineRule="auto"/>
              <w:jc w:val="right"/>
            </w:pPr>
            <w:r>
              <w:rPr>
                <w:rFonts w:ascii="Times New Roman" w:hAnsi="Times New Roman" w:cs="Times New Roman"/>
                <w:b w:val="0"/>
                <w:sz w:val="20"/>
              </w:rPr>
              <w:t>[−174.00, 171.00]</w:t>
            </w:r>
          </w:p>
        </w:tc>
        <w:tc>
          <w:tcPr>
            <w:tcW w:type="dxa" w:w="1420"/>
            <w:vAlign w:val="center"/>
          </w:tcPr>
          <w:p>
            <w:pPr>
              <w:keepNext/>
              <w:keepLines/>
              <w:spacing w:before="60" w:after="60" w:line="245" w:lineRule="auto"/>
              <w:jc w:val="right"/>
            </w:pPr>
            <w:r>
              <w:rPr>
                <w:rFonts w:ascii="Times New Roman" w:hAnsi="Times New Roman" w:cs="Times New Roman"/>
                <w:b w:val="0"/>
                <w:sz w:val="20"/>
              </w:rPr>
              <w:t>46.34</w:t>
            </w:r>
          </w:p>
        </w:tc>
      </w:tr>
      <w:tr>
        <w:trPr>
          <w:cantSplit/>
        </w:trPr>
        <w:tc>
          <w:tcPr>
            <w:tcW w:type="dxa" w:w="2289"/>
            <w:vAlign w:val="center"/>
          </w:tcPr>
          <w:p>
            <w:pPr>
              <w:keepNext/>
              <w:keepLines/>
              <w:spacing w:before="60" w:after="60" w:line="245" w:lineRule="auto"/>
              <w:jc w:val="left"/>
            </w:pPr>
            <w:r>
              <w:rPr>
                <w:rFonts w:ascii="Times New Roman" w:hAnsi="Times New Roman" w:cs="Times New Roman"/>
                <w:b w:val="0"/>
                <w:sz w:val="20"/>
              </w:rPr>
              <w:t>Absolute deviation</w:t>
            </w:r>
          </w:p>
        </w:tc>
        <w:tc>
          <w:tcPr>
            <w:tcW w:type="dxa" w:w="1026"/>
            <w:vAlign w:val="center"/>
          </w:tcPr>
          <w:p>
            <w:pPr>
              <w:keepNext/>
              <w:keepLines/>
              <w:spacing w:before="60" w:after="60" w:line="245" w:lineRule="auto"/>
              <w:jc w:val="right"/>
            </w:pPr>
            <w:r>
              <w:rPr>
                <w:rFonts w:ascii="Times New Roman" w:hAnsi="Times New Roman" w:cs="Times New Roman"/>
                <w:b w:val="0"/>
                <w:sz w:val="20"/>
              </w:rPr>
              <w:t>33.51</w:t>
            </w:r>
          </w:p>
        </w:tc>
        <w:tc>
          <w:tcPr>
            <w:tcW w:type="dxa" w:w="1026"/>
            <w:vAlign w:val="center"/>
          </w:tcPr>
          <w:p>
            <w:pPr>
              <w:keepNext/>
              <w:keepLines/>
              <w:spacing w:before="60" w:after="60" w:line="245" w:lineRule="auto"/>
              <w:jc w:val="right"/>
            </w:pPr>
            <w:r>
              <w:rPr>
                <w:rFonts w:ascii="Times New Roman" w:hAnsi="Times New Roman" w:cs="Times New Roman"/>
                <w:b w:val="0"/>
                <w:sz w:val="20"/>
              </w:rPr>
              <w:t>25.00</w:t>
            </w:r>
          </w:p>
        </w:tc>
        <w:tc>
          <w:tcPr>
            <w:tcW w:type="dxa" w:w="2131"/>
            <w:vAlign w:val="center"/>
          </w:tcPr>
          <w:p>
            <w:pPr>
              <w:keepNext/>
              <w:keepLines/>
              <w:spacing w:before="60" w:after="60" w:line="245" w:lineRule="auto"/>
              <w:jc w:val="right"/>
            </w:pPr>
            <w:r>
              <w:rPr>
                <w:rFonts w:ascii="Times New Roman" w:hAnsi="Times New Roman" w:cs="Times New Roman"/>
                <w:b w:val="0"/>
                <w:sz w:val="20"/>
              </w:rPr>
              <w:t>[11.00, 46.00]</w:t>
            </w:r>
          </w:p>
        </w:tc>
        <w:tc>
          <w:tcPr>
            <w:tcW w:type="dxa" w:w="1973"/>
            <w:vAlign w:val="center"/>
          </w:tcPr>
          <w:p>
            <w:pPr>
              <w:keepNext/>
              <w:keepLines/>
              <w:spacing w:before="60" w:after="60" w:line="245" w:lineRule="auto"/>
              <w:jc w:val="right"/>
            </w:pPr>
            <w:r>
              <w:rPr>
                <w:rFonts w:ascii="Times New Roman" w:hAnsi="Times New Roman" w:cs="Times New Roman"/>
                <w:b w:val="0"/>
                <w:sz w:val="20"/>
              </w:rPr>
              <w:t>[0.00, 174.00]</w:t>
            </w:r>
          </w:p>
        </w:tc>
        <w:tc>
          <w:tcPr>
            <w:tcW w:type="dxa" w:w="1420"/>
            <w:vAlign w:val="center"/>
          </w:tcPr>
          <w:p>
            <w:pPr>
              <w:keepNext/>
              <w:keepLines/>
              <w:spacing w:before="60" w:after="60" w:line="245" w:lineRule="auto"/>
              <w:jc w:val="right"/>
            </w:pPr>
            <w:r>
              <w:rPr>
                <w:rFonts w:ascii="Times New Roman" w:hAnsi="Times New Roman" w:cs="Times New Roman"/>
                <w:b w:val="0"/>
                <w:sz w:val="20"/>
              </w:rPr>
              <w:t>32.06</w:t>
            </w:r>
          </w:p>
        </w:tc>
      </w:tr>
    </w:tbl>
    <w:p>
      <w:pPr>
        <w:pStyle w:val="TableNote"/>
        <w:keepNext w:val="0"/>
        <w:keepLines/>
        <w:ind w:left="0" w:right="0" w:firstLine="0"/>
      </w:pPr>
      <w:r>
        <w:rPr>
          <w:rFonts w:ascii="Times New Roman" w:hAnsi="Times New Roman" w:cs="Times New Roman"/>
          <w:sz w:val="19"/>
        </w:rPr>
        <w:t xml:space="preserve">Note: Both rows use the same 240 auctions in 21 quarters. Values are basis points; SD denotes the sample standard deviation with denominator </w:t>
      </w:r>
      <w:r>
        <w:rPr>
          <w:rFonts w:ascii="Times New Roman" w:hAnsi="Times New Roman" w:cs="Times New Roman"/>
          <w:sz w:val="19"/>
          <w:i w:val="1"/>
        </w:rPr>
        <w:t xml:space="preserve">n</w:t>
      </w:r>
      <w:r>
        <w:rPr>
          <w:rFonts w:ascii="Times New Roman" w:hAnsi="Times New Roman" w:cs="Times New Roman"/>
          <w:sz w:val="19"/>
        </w:rPr>
        <w:t xml:space="preserve">−1. Quartiles use linear interpolation. Signed values comprise 142 negative (59.17%), 92 positive (38.33%) and six printed zeros (2.50%). A printed zero is not a no-trade flag. Online Resource 1, Table S11, gives the corresponding descriptions for the two fixed source subsets.</w:t>
      </w:r>
    </w:p>
    <w:p>
      <w:pPr>
        <w:pStyle w:val="BodyText"/>
        <w:keepNext w:val="0"/>
        <w:spacing w:line="269" w:lineRule="auto" w:before="0" w:after="120"/>
        <w:ind w:left="0" w:right="0" w:firstLine="0"/>
      </w:pPr>
      <w:r>
        <w:rPr>
          <w:rFonts w:ascii="Times New Roman" w:hAnsi="Times New Roman" w:cs="Times New Roman"/>
          <w:sz w:val="23"/>
        </w:rPr>
        <w:t>The 2026 exercises must also be distinguished. The separate quantity extension contains 166 auctions in January–September 2026 and is examined in Section 6.3. Twenty-two separately acquired German price observations from 2026 were not fitted and are not merged into the historical price sample. Neither group enlarges the 1,281-observation historical quantity regression. Keeping these sample layers separate prevents an acquisition count or an overlapping subset from being presented as an independent replication.</w:t>
      </w:r>
    </w:p>
    <w:p>
      <w:pPr>
        <w:pStyle w:val="Heading1"/>
        <w:ind w:left="0" w:right="0" w:firstLine="0"/>
      </w:pPr>
      <w:r>
        <w:rPr>
          <w:rFonts w:ascii="Times New Roman" w:hAnsi="Times New Roman" w:cs="Times New Roman"/>
          <w:sz w:val="26"/>
        </w:rPr>
        <w:t>4 Empirical strategy and research sequence</w:t>
      </w:r>
    </w:p>
    <w:p>
      <w:pPr>
        <w:pStyle w:val="Heading2"/>
        <w:keepLines/>
        <w:ind w:left="0" w:right="0" w:firstLine="0"/>
      </w:pPr>
      <w:r>
        <w:rPr>
          <w:rFonts w:ascii="Times New Roman" w:hAnsi="Times New Roman" w:cs="Times New Roman"/>
          <w:sz w:val="23"/>
        </w:rPr>
        <w:t>4.1 Conditional quantity association</w:t>
      </w:r>
    </w:p>
    <w:p>
      <w:pPr>
        <w:pStyle w:val="BodyText"/>
        <w:keepNext/>
        <w:keepLines/>
        <w:widowControl/>
        <w:spacing w:line="269" w:lineRule="auto" w:before="0" w:after="120"/>
        <w:ind w:left="0" w:right="0" w:firstLine="0"/>
      </w:pPr>
      <w:r>
        <w:rPr>
          <w:rFonts w:ascii="Times New Roman" w:hAnsi="Times New Roman" w:cs="Times New Roman"/>
          <w:sz w:val="23"/>
        </w:rPr>
        <w:t xml:space="preserve">Specification A sets</w:t>
      </w:r>
      <w:r>
        <w:rPr>
          <w:rFonts w:ascii="Times New Roman" w:hAnsi="Times New Roman" w:cs="Times New Roman"/>
          <w:sz w:val="23"/>
        </w:rP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rPr>
          <w:rFonts w:ascii="Times New Roman" w:hAnsi="Times New Roman" w:cs="Times New Roman"/>
          <w:sz w:val="23"/>
        </w:rPr>
        <w:t xml:space="preserve">. The main conditional projection is</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cs="Times New Roman"/>
          <w:sz w:val="23"/>
        </w:rPr>
        <w:tab/>
        <w:t>(2)</w:t>
      </w:r>
    </w:p>
    <w:p>
      <w:pPr>
        <w:pStyle w:val="BodyText"/>
        <w:keepNext w:val="0"/>
        <w:widowControl/>
        <w:spacing w:line="269" w:lineRule="auto" w:before="0" w:after="120"/>
        <w:ind w:left="0" w:right="0" w:firstLine="0"/>
      </w:pPr>
      <w:r>
        <w:rPr>
          <w:rFonts w:ascii="Times New Roman" w:hAnsi="Times New Roman" w:cs="Times New Roman"/>
          <w:sz w:val="23"/>
        </w:rPr>
        <w:t xml:space="preserve">where</w:t>
      </w:r>
      <w:r>
        <w:rPr>
          <w:rFonts w:ascii="Times New Roman" w:hAnsi="Times New Roman" w:cs="Times New Roman"/>
          <w:sz w:val="23"/>
        </w:rPr>
        <w:t xml:space="preserve"> </w:t>
      </w:r>
      <m:oMath>
        <m:r>
          <m:t>j</m:t>
        </m:r>
        <m:d>
          <m:dPr>
            <m:begChr m:val="("/>
            <m:endChr m:val=")"/>
            <m:sepChr m:val=""/>
            <m:grow/>
          </m:dPr>
          <m:e>
            <m:r>
              <m:t>t</m:t>
            </m:r>
          </m:e>
        </m:d>
      </m:oMath>
      <w:r>
        <w:rPr>
          <w:rFonts w:ascii="Times New Roman" w:hAnsi="Times New Roman" w:cs="Times New Roman"/>
          <w:sz w:val="23"/>
        </w:rPr>
        <w:t xml:space="preserve"> </w:t>
      </w:r>
      <w:r>
        <w:rPr>
          <w:rFonts w:ascii="Times New Roman" w:hAnsi="Times New Roman" w:cs="Times New Roman"/>
          <w:sz w:val="23"/>
        </w:rPr>
        <w:t xml:space="preserve">denotes the reporting series,</w:t>
      </w:r>
      <w:r>
        <w:rPr>
          <w:rFonts w:ascii="Times New Roman" w:hAnsi="Times New Roman" w:cs="Times New Roman"/>
          <w:sz w:val="23"/>
        </w:rPr>
        <w:t xml:space="preserve"> </w:t>
      </w:r>
      <m:oMath>
        <m:r>
          <m:t>m</m:t>
        </m:r>
        <m:d>
          <m:dPr>
            <m:begChr m:val="("/>
            <m:endChr m:val=")"/>
            <m:sepChr m:val=""/>
            <m:grow/>
          </m:dPr>
          <m:e>
            <m:r>
              <m:t>t</m:t>
            </m:r>
          </m:e>
        </m:d>
      </m:oMath>
      <w:r>
        <w:rPr>
          <w:rFonts w:ascii="Times New Roman" w:hAnsi="Times New Roman" w:cs="Times New Roman"/>
          <w:sz w:val="23"/>
        </w:rPr>
        <w:t xml:space="preserve"> </w:t>
      </w:r>
      <w:r>
        <w:rPr>
          <w:rFonts w:ascii="Times New Roman" w:hAnsi="Times New Roman" w:cs="Times New Roman"/>
          <w:sz w:val="23"/>
        </w:rPr>
        <w:t xml:space="preserve">the original year–month, and</w:t>
      </w:r>
      <w:r>
        <w:rPr>
          <w:rFonts w:ascii="Times New Roman" w:hAnsi="Times New Roman" w:cs="Times New Roman"/>
          <w:sz w:val="23"/>
        </w:rP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rPr>
          <w:rFonts w:ascii="Times New Roman" w:hAnsi="Times New Roman" w:cs="Times New Roman"/>
          <w:sz w:val="23"/>
        </w:rPr>
        <w:t xml:space="preserve">. Here</w:t>
      </w:r>
      <w:r>
        <w:rPr>
          <w:rFonts w:ascii="Times New Roman" w:hAnsi="Times New Roman" w:cs="Times New Roman"/>
          <w:sz w:val="23"/>
        </w:rPr>
        <w:t xml:space="preserve"> </w:t>
      </w:r>
      <m:oMath>
        <m:r>
          <m:t>R</m:t>
        </m:r>
      </m:oMath>
      <w:r>
        <w:rPr>
          <w:rFonts w:ascii="Times New Roman" w:hAnsi="Times New Roman" w:cs="Times New Roman"/>
          <w:sz w:val="23"/>
        </w:rPr>
        <w:t xml:space="preserve"> </w:t>
      </w:r>
      <w:r>
        <w:rPr>
          <w:rFonts w:ascii="Times New Roman" w:hAnsi="Times New Roman" w:cs="Times New Roman"/>
          <w:sz w:val="23"/>
        </w:rPr>
        <w:t xml:space="preserve">is the reported cover ratio,</w:t>
      </w:r>
      <w:r>
        <w:rPr>
          <w:rFonts w:ascii="Times New Roman" w:hAnsi="Times New Roman" w:cs="Times New Roman"/>
          <w:sz w:val="23"/>
        </w:rPr>
        <w:t xml:space="preserve"> </w:t>
      </w:r>
      <m:oMath>
        <m:r>
          <m:t>V</m:t>
        </m:r>
      </m:oMath>
      <w:r>
        <w:rPr>
          <w:rFonts w:ascii="Times New Roman" w:hAnsi="Times New Roman" w:cs="Times New Roman"/>
          <w:sz w:val="23"/>
        </w:rPr>
        <w:t xml:space="preserve"> </w:t>
      </w:r>
      <w:r>
        <w:rPr>
          <w:rFonts w:ascii="Times New Roman" w:hAnsi="Times New Roman" w:cs="Times New Roman"/>
          <w:sz w:val="23"/>
        </w:rPr>
        <w:t xml:space="preserve">reported auction volume,</w:t>
      </w:r>
      <w:r>
        <w:rPr>
          <w:rFonts w:ascii="Times New Roman" w:hAnsi="Times New Roman" w:cs="Times New Roman"/>
          <w:sz w:val="23"/>
        </w:rPr>
        <w:t xml:space="preserve"> </w:t>
      </w:r>
      <m:oMath>
        <m:r>
          <m:t>N</m:t>
        </m:r>
      </m:oMath>
      <w:r>
        <w:rPr>
          <w:rFonts w:ascii="Times New Roman" w:hAnsi="Times New Roman" w:cs="Times New Roman"/>
          <w:sz w:val="23"/>
        </w:rPr>
        <w:t xml:space="preserve"> </w:t>
      </w:r>
      <w:r>
        <w:rPr>
          <w:rFonts w:ascii="Times New Roman" w:hAnsi="Times New Roman" w:cs="Times New Roman"/>
          <w:sz w:val="23"/>
        </w:rPr>
        <w:t xml:space="preserve">total bidders and</w:t>
      </w:r>
      <w:r>
        <w:rPr>
          <w:rFonts w:ascii="Times New Roman" w:hAnsi="Times New Roman" w:cs="Times New Roman"/>
          <w:sz w:val="23"/>
        </w:rPr>
        <w:t xml:space="preserve"> </w:t>
      </w:r>
      <m:oMath>
        <m:r>
          <m:t>S</m:t>
        </m:r>
      </m:oMath>
      <w:r>
        <w:rPr>
          <w:rFonts w:ascii="Times New Roman" w:hAnsi="Times New Roman" w:cs="Times New Roman"/>
          <w:sz w:val="23"/>
        </w:rPr>
        <w:t xml:space="preserve"> </w:t>
      </w:r>
      <w:r>
        <w:rPr>
          <w:rFonts w:ascii="Times New Roman" w:hAnsi="Times New Roman" w:cs="Times New Roman"/>
          <w:sz w:val="23"/>
        </w:rPr>
        <w:t xml:space="preserve">successful bidders. The submitted-volume field</w:t>
      </w:r>
      <w:r>
        <w:rPr>
          <w:rFonts w:ascii="Times New Roman" w:hAnsi="Times New Roman" w:cs="Times New Roman"/>
          <w:sz w:val="23"/>
        </w:rPr>
        <w:t xml:space="preserve"> </w:t>
      </w:r>
      <m:oMath>
        <m:r>
          <m:t>B</m:t>
        </m:r>
      </m:oMath>
      <w:r>
        <w:rPr>
          <w:rFonts w:ascii="Times New Roman" w:hAnsi="Times New Roman" w:cs="Times New Roman"/>
          <w:sz w:val="23"/>
        </w:rPr>
        <w:t xml:space="preserve">, used in the denominator audit and Table 2, is labelled</w:t>
      </w:r>
      <w:r>
        <w:rPr>
          <w:rFonts w:ascii="Times New Roman" w:hAnsi="Times New Roman" w:cs="Times New Roman"/>
          <w:sz w:val="23"/>
        </w:rPr>
        <w:t xml:space="preserve"> </w:t>
      </w:r>
      <w:r>
        <w:rPr>
          <w:rFonts w:ascii="Times New Roman" w:hAnsi="Times New Roman" w:cs="Times New Roman"/>
          <w:sz w:val="23"/>
        </w:rPr>
        <w:t xml:space="preserve">“</w:t>
      </w:r>
      <w:r>
        <w:rPr>
          <w:rFonts w:ascii="Times New Roman" w:hAnsi="Times New Roman" w:cs="Times New Roman"/>
          <w:sz w:val="23"/>
        </w:rPr>
        <w:t xml:space="preserve">Total Amount of Bids</w:t>
      </w:r>
      <w:r>
        <w:rPr>
          <w:rFonts w:ascii="Times New Roman" w:hAnsi="Times New Roman" w:cs="Times New Roman"/>
          <w:sz w:val="23"/>
        </w:rPr>
        <w:t xml:space="preserve">”</w:t>
      </w:r>
      <w:r>
        <w:rPr>
          <w:rFonts w:ascii="Times New Roman" w:hAnsi="Times New Roman" w:cs="Times New Roman"/>
          <w:sz w:val="23"/>
        </w:rPr>
        <w:t xml:space="preserve"> </w:t>
      </w:r>
      <w:r>
        <w:rPr>
          <w:rFonts w:ascii="Times New Roman" w:hAnsi="Times New Roman" w:cs="Times New Roman"/>
          <w:sz w:val="23"/>
        </w:rPr>
        <w:t xml:space="preserve">in the source workbook; it is not an additional regressor in (2). All observations have equal weight. The pooled full design has rank 79 and 1,202 residual degrees of freedom.</w:t>
      </w:r>
    </w:p>
    <w:p>
      <w:pPr>
        <w:pStyle w:val="BodyText"/>
        <w:keepNext w:val="0"/>
        <w:widowControl/>
        <w:spacing w:line="269" w:lineRule="auto" w:before="0" w:after="120"/>
        <w:ind w:left="0" w:right="0" w:firstLine="0"/>
      </w:pPr>
      <w:r>
        <w:rPr>
          <w:rFonts w:ascii="Times New Roman" w:hAnsi="Times New Roman" w:cs="Times New Roman"/>
          <w:sz w:val="23"/>
        </w:rP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rPr>
          <w:rFonts w:ascii="Times New Roman" w:hAnsi="Times New Roman" w:cs="Times New Roman"/>
          <w:sz w:val="23"/>
        </w:rPr>
        <w:t xml:space="preserve"> </w:t>
      </w:r>
      <m:oMath>
        <m:sSub>
          <m:e>
            <m:r>
              <m:t>x</m:t>
            </m:r>
          </m:e>
          <m:sub>
            <m:r>
              <m:t>t</m:t>
            </m:r>
          </m:sub>
        </m:sSub>
        <m:r>
          <m:rPr>
            <m:sty m:val="p"/>
          </m:rPr>
          <m:t>=</m:t>
        </m:r>
        <m:r>
          <m:rPr>
            <m:sty m:val="p"/>
          </m:rPr>
          <m:t>log</m:t>
        </m:r>
        <m:sSubSup>
          <m:e>
            <m:r>
              <m:t>r</m:t>
            </m:r>
          </m:e>
          <m:sub>
            <m:r>
              <m:t>t</m:t>
            </m:r>
          </m:sub>
          <m:sup>
            <m:r>
              <m:t>b</m:t>
            </m:r>
          </m:sup>
        </m:sSubSup>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b>
          <m:e>
            <m:r>
              <m:t>y</m:t>
            </m:r>
          </m:e>
          <m:sub>
            <m:r>
              <m:t>t</m:t>
            </m:r>
          </m:sub>
        </m:sSub>
        <m:r>
          <m:rPr>
            <m:sty m:val="p"/>
          </m:rPr>
          <m:t>=</m:t>
        </m:r>
        <m:r>
          <m:rPr>
            <m:sty m:val="p"/>
          </m:rPr>
          <m:t>log</m:t>
        </m:r>
        <m:sSubSup>
          <m:e>
            <m:r>
              <m:t>r</m:t>
            </m:r>
          </m:e>
          <m:sub>
            <m:r>
              <m:t>t</m:t>
            </m:r>
          </m:sub>
          <m:sup>
            <m:r>
              <m:t>w</m:t>
            </m:r>
          </m:sup>
        </m:sSubSup>
      </m:oMath>
      <w:r>
        <w:rPr>
          <w:rFonts w:ascii="Times New Roman" w:hAnsi="Times New Roman" w:cs="Times New Roman"/>
          <w:sz w:val="23"/>
        </w:rPr>
        <w:t xml:space="preserve"> </w:t>
      </w:r>
      <w:r>
        <w:rPr>
          <w:rFonts w:ascii="Times New Roman" w:hAnsi="Times New Roman" w:cs="Times New Roman"/>
          <w:sz w:val="23"/>
        </w:rPr>
        <w:t xml:space="preserve">on exactly the same 1,281 rows. No constant is added to a zero standard deviation.</w:t>
      </w:r>
    </w:p>
    <w:p>
      <w:pPr>
        <w:pStyle w:val="BodyText"/>
        <w:keepNext w:val="0"/>
        <w:widowControl/>
        <w:spacing w:line="269" w:lineRule="auto" w:before="0" w:after="120"/>
        <w:ind w:left="0" w:right="0" w:firstLine="0"/>
      </w:pPr>
      <w:r>
        <w:rPr>
          <w:rFonts w:ascii="Times New Roman" w:hAnsi="Times New Roman" w:cs="Times New Roman"/>
          <w:sz w:val="23"/>
        </w:rP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rPr>
          <w:rFonts w:ascii="Times New Roman" w:hAnsi="Times New Roman" w:cs="Times New Roman"/>
          <w:sz w:val="23"/>
        </w:rPr>
        <w:t xml:space="preserve"> </w:t>
      </w:r>
      <m:oMath>
        <m:r>
          <m:rPr>
            <m:sty m:val="p"/>
          </m:rPr>
          <m:t>log</m:t>
        </m:r>
        <m:r>
          <m:t>V</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r>
          <m:rPr>
            <m:sty m:val="p"/>
          </m:rPr>
          <m:t>log</m:t>
        </m:r>
        <m:r>
          <m:t>N</m:t>
        </m:r>
      </m:oMath>
      <w:r>
        <w:rPr>
          <w:rFonts w:ascii="Times New Roman" w:hAnsi="Times New Roman" w:cs="Times New Roman"/>
          <w:sz w:val="23"/>
        </w:rPr>
        <w:t xml:space="preserve">. These models answer related, but not identical, conditional questions. Year–month effects account for monthly levels; they do not absorb every daily common shock.</w:t>
      </w:r>
    </w:p>
    <w:p>
      <w:pPr>
        <w:pStyle w:val="BodyText"/>
        <w:keepNext/>
        <w:widowControl/>
        <w:spacing w:line="269" w:lineRule="auto" w:before="0" w:after="120"/>
        <w:ind w:left="0" w:right="0" w:firstLine="0"/>
      </w:pPr>
      <w:r>
        <w:rPr>
          <w:rFonts w:ascii="Times New Roman" w:hAnsi="Times New Roman" w:cs="Times New Roman"/>
          <w:sz w:val="23"/>
        </w:rPr>
        <w:t xml:space="preserve">Let</w:t>
      </w:r>
      <w:r>
        <w:rPr>
          <w:rFonts w:ascii="Times New Roman" w:hAnsi="Times New Roman" w:cs="Times New Roman"/>
          <w:sz w:val="23"/>
        </w:rPr>
        <w:t xml:space="preserve"> </w:t>
      </w:r>
      <m:oMath>
        <m:r>
          <m:rPr>
            <m:sty m:val="b"/>
          </m:rPr>
          <m:t>Z</m:t>
        </m:r>
      </m:oMath>
      <w:r>
        <w:rPr>
          <w:rFonts w:ascii="Times New Roman" w:hAnsi="Times New Roman" w:cs="Times New Roman"/>
          <w:sz w:val="23"/>
        </w:rPr>
        <w:t xml:space="preserve"> </w:t>
      </w:r>
      <w:r>
        <w:rPr>
          <w:rFonts w:ascii="Times New Roman" w:hAnsi="Times New Roman" w:cs="Times New Roman"/>
          <w:sz w:val="23"/>
        </w:rPr>
        <w:t xml:space="preserve">contain the nuisance regressors and fixed effects in (2), and let</w:t>
      </w:r>
      <w:r>
        <w:rPr>
          <w:rFonts w:ascii="Times New Roman" w:hAnsi="Times New Roman" w:cs="Times New Roman"/>
          <w:sz w:val="23"/>
        </w:rPr>
        <w:t xml:space="preserve"> </w:t>
      </w:r>
      <m:oMath>
        <m:sSub>
          <m:e>
            <m:r>
              <m:rPr>
                <m:sty m:val="b"/>
              </m:rPr>
              <m:t>M</m:t>
            </m:r>
          </m:e>
          <m:sub>
            <m:r>
              <m:rPr>
                <m:sty m:val="b"/>
              </m:rPr>
              <m:t>Z</m:t>
            </m:r>
          </m:sub>
        </m:sSub>
      </m:oMath>
      <w:r>
        <w:rPr>
          <w:rFonts w:ascii="Times New Roman" w:hAnsi="Times New Roman" w:cs="Times New Roman"/>
          <w:sz w:val="23"/>
        </w:rPr>
        <w:t xml:space="preserve"> </w:t>
      </w:r>
      <w:r>
        <w:rPr>
          <w:rFonts w:ascii="Times New Roman" w:hAnsi="Times New Roman" w:cs="Times New Roman"/>
          <w:sz w:val="23"/>
        </w:rPr>
        <w:t xml:space="preserve">denote the residual-maker for that space. With</w:t>
      </w:r>
      <w:r>
        <w:rPr>
          <w:rFonts w:ascii="Times New Roman" w:hAnsi="Times New Roman" w:cs="Times New Roman"/>
          <w:sz w:val="23"/>
        </w:rPr>
        <w:t xml:space="preserve"> </w:t>
      </w:r>
      <m:oMath>
        <m:acc>
          <m:accPr>
            <m:chr m:val="̃"/>
          </m:accPr>
          <m:e>
            <m:r>
              <m:rPr>
                <m:sty m:val="b"/>
              </m:rPr>
              <m:t>x</m:t>
            </m:r>
          </m:e>
        </m:acc>
        <m:r>
          <m:rPr>
            <m:sty m:val="p"/>
          </m:rPr>
          <m:t>=</m:t>
        </m:r>
        <m:sSub>
          <m:e>
            <m:r>
              <m:rPr>
                <m:sty m:val="b"/>
              </m:rPr>
              <m:t>M</m:t>
            </m:r>
          </m:e>
          <m:sub>
            <m:r>
              <m:rPr>
                <m:sty m:val="b"/>
              </m:rPr>
              <m:t>Z</m:t>
            </m:r>
          </m:sub>
        </m:sSub>
        <m:r>
          <m:rPr>
            <m:sty m:val="b"/>
          </m:rPr>
          <m:t>x</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acc>
          <m:accPr>
            <m:chr m:val="̃"/>
          </m:accPr>
          <m:e>
            <m:r>
              <m:rPr>
                <m:sty m:val="b"/>
              </m:rPr>
              <m:t>y</m:t>
            </m:r>
          </m:e>
        </m:acc>
        <m:r>
          <m:rPr>
            <m:sty m:val="p"/>
          </m:rPr>
          <m:t>=</m:t>
        </m:r>
        <m:sSub>
          <m:e>
            <m:r>
              <m:rPr>
                <m:sty m:val="b"/>
              </m:rPr>
              <m:t>M</m:t>
            </m:r>
          </m:e>
          <m:sub>
            <m:r>
              <m:rPr>
                <m:sty m:val="b"/>
              </m:rPr>
              <m:t>Z</m:t>
            </m:r>
          </m:sub>
        </m:sSub>
        <m:r>
          <m:rPr>
            <m:sty m:val="b"/>
          </m:rPr>
          <m:t>y</m:t>
        </m:r>
      </m:oMath>
      <w:r>
        <w:rPr>
          <w:rFonts w:ascii="Times New Roman" w:hAnsi="Times New Roman" w:cs="Times New Roman"/>
          <w:sz w:val="23"/>
        </w:rPr>
        <w:t xml:space="preserve">, the coefficient and standardized association are</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cs="Times New Roman"/>
          <w:sz w:val="23"/>
        </w:rPr>
        <w:tab/>
        <w:t>(3)</w:t>
      </w:r>
    </w:p>
    <w:p>
      <w:pPr>
        <w:pStyle w:val="BodyText"/>
        <w:keepNext/>
        <w:widowControl/>
        <w:spacing w:line="269" w:lineRule="auto" w:before="0" w:after="120"/>
        <w:ind w:left="0" w:right="0" w:firstLine="0"/>
      </w:pPr>
      <w:r>
        <w:rPr>
          <w:rFonts w:ascii="Times New Roman" w:hAnsi="Times New Roman" w:cs="Times New Roman"/>
          <w:sz w:val="23"/>
        </w:rPr>
        <w:t xml:space="preserve">This is the partial-regression representation (Lovell 1963). In the present equal-weight, single-added-regressor setting,</w:t>
      </w:r>
      <w:r>
        <w:rPr>
          <w:rFonts w:ascii="Times New Roman" w:hAnsi="Times New Roman" w:cs="Times New Roman"/>
          <w:sz w:val="23"/>
        </w:rPr>
        <w:t xml:space="preserve"> </w:t>
      </w:r>
      <m:oMath>
        <m:acc>
          <m:accPr>
            <m:chr m:val="̂"/>
          </m:accPr>
          <m:e>
            <m:r>
              <m:t>θ</m:t>
            </m:r>
          </m:e>
        </m:acc>
      </m:oMath>
      <w:r>
        <w:rPr>
          <w:rFonts w:ascii="Times New Roman" w:hAnsi="Times New Roman" w:cs="Times New Roman"/>
          <w:sz w:val="23"/>
        </w:rPr>
        <w:t xml:space="preserve"> </w:t>
      </w:r>
      <w:r>
        <w:rPr>
          <w:rFonts w:ascii="Times New Roman" w:hAnsi="Times New Roman" w:cs="Times New Roman"/>
          <w:sz w:val="23"/>
        </w:rPr>
        <w:t xml:space="preserve">is the sample correlation of the two residuals. The partial coefficient of determination satisfies</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Sup>
          <m:e>
            <m:r>
              <m:t>R</m:t>
            </m:r>
          </m:e>
          <m:sub>
            <m:r>
              <m:rPr>
                <m:nor/>
              </m:rPr>
              <m:t>partial</m:t>
            </m:r>
          </m:sub>
          <m:sup>
            <m:r>
              <m:t>2</m:t>
            </m:r>
          </m:sup>
        </m:sSubSup>
        <m:r>
          <m:rPr>
            <m:sty m:val="p"/>
          </m:rPr>
          <m:t>=</m:t>
        </m:r>
        <m:f>
          <m:fPr>
            <m:type m:val="bar"/>
          </m:fPr>
          <m:num>
            <m:sSub>
              <m:e>
                <m:r>
                  <m:rPr>
                    <m:sty m:val="p"/>
                  </m:rPr>
                  <m:t>SSE</m:t>
                </m:r>
              </m:e>
              <m:sub>
                <m:r>
                  <m:rPr>
                    <m:sty m:val="b"/>
                  </m:rPr>
                  <m:t>Z</m:t>
                </m:r>
              </m:sub>
            </m:sSub>
            <m:r>
              <m:rPr>
                <m:sty m:val="p"/>
              </m:rPr>
              <m:t>−</m:t>
            </m:r>
            <m:sSub>
              <m:e>
                <m:r>
                  <m:rPr>
                    <m:sty m:val="p"/>
                  </m:rPr>
                  <m:t>SSE</m:t>
                </m:r>
              </m:e>
              <m:sub>
                <m:r>
                  <m:rPr>
                    <m:sty m:val="b"/>
                  </m:rPr>
                  <m:t>Z</m:t>
                </m:r>
                <m:r>
                  <m:rPr>
                    <m:sty m:val="p"/>
                  </m:rPr>
                  <m:t>,</m:t>
                </m:r>
                <m:r>
                  <m:t>x</m:t>
                </m:r>
              </m:sub>
            </m:sSub>
          </m:num>
          <m:den>
            <m:sSub>
              <m:e>
                <m:r>
                  <m:rPr>
                    <m:sty m:val="p"/>
                  </m:rPr>
                  <m:t>SSE</m:t>
                </m:r>
              </m:e>
              <m:sub>
                <m:r>
                  <m:rPr>
                    <m:sty m:val="b"/>
                  </m:rPr>
                  <m:t>Z</m:t>
                </m:r>
              </m:sub>
            </m:sSub>
          </m:den>
        </m:f>
        <m:r>
          <m:rPr>
            <m:sty m:val="p"/>
          </m:rPr>
          <m:t>=</m:t>
        </m:r>
        <m:sSup>
          <m:e>
            <m:acc>
              <m:accPr>
                <m:chr m:val="̂"/>
              </m:accPr>
              <m:e>
                <m:r>
                  <m:t>θ</m:t>
                </m:r>
              </m:e>
            </m:acc>
          </m:e>
          <m:sup>
            <m:r>
              <m:t> </m:t>
            </m:r>
            <m:r>
              <m:t>2</m:t>
            </m:r>
          </m:sup>
        </m:sSup>
        <m:r>
          <m:rPr>
            <m:sty m:val="p"/>
          </m:rPr>
          <m:t>.</m:t>
        </m:r>
      </m:oMath>
      <w:r>
        <w:rPr>
          <w:rFonts w:ascii="Times New Roman" w:hAnsi="Times New Roman" w:cs="Times New Roman"/>
          <w:sz w:val="23"/>
        </w:rPr>
        <w:tab/>
        <w:t>(4)</w:t>
      </w:r>
    </w:p>
    <w:p>
      <w:pPr>
        <w:pStyle w:val="BodyText"/>
        <w:keepNext w:val="0"/>
        <w:widowControl/>
        <w:spacing w:line="269" w:lineRule="auto" w:before="0" w:after="120"/>
        <w:ind w:left="0" w:right="0" w:firstLine="0"/>
      </w:pPr>
      <w:r>
        <w:rPr>
          <w:rFonts w:ascii="Times New Roman" w:hAnsi="Times New Roman" w:cs="Times New Roman"/>
          <w:sz w:val="23"/>
        </w:rP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rPr>
          <w:rFonts w:ascii="Times New Roman" w:hAnsi="Times New Roman" w:cs="Times New Roman"/>
          <w:sz w:val="23"/>
        </w:rPr>
        <w:t xml:space="preserve"> </w:t>
      </w:r>
      <m:oMath>
        <m:r>
          <m:t>x</m:t>
        </m:r>
      </m:oMath>
      <w:r>
        <w:rPr>
          <w:rFonts w:ascii="Times New Roman" w:hAnsi="Times New Roman" w:cs="Times New Roman"/>
          <w:sz w:val="23"/>
        </w:rPr>
        <w:t xml:space="preserve">. It is a scale illustration along the fitted partial regression, not an intervention or an expected procurement gain.</w:t>
      </w:r>
    </w:p>
    <w:p>
      <w:pPr>
        <w:pStyle w:val="BodyText"/>
        <w:keepNext w:val="0"/>
        <w:spacing w:line="269" w:lineRule="auto" w:before="0" w:after="120"/>
        <w:ind w:left="0" w:right="0" w:firstLine="0"/>
      </w:pPr>
      <w:r>
        <w:rPr>
          <w:rFonts w:ascii="Times New Roman" w:hAnsi="Times New Roman" w:cs="Times New Roman"/>
          <w:sz w:val="23"/>
        </w:rPr>
        <w:t>The regression direction is a convention for describing the partial relationship. The residual correlation is symmetric, whereas the slope also depends on the relative residual scales. It follows that a comparison of correlations and a comparison of slopes answer different questions when those scales change. Both are retained in the historical analysis. We interpret the fitted linear projections in their observed samples; neither the chosen transformation nor the residualization step establishes a constant structural mapping between bidding and allocation.</w:t>
      </w:r>
    </w:p>
    <w:p>
      <w:pPr>
        <w:pStyle w:val="BodyText"/>
        <w:keepNext w:val="0"/>
        <w:widowControl/>
        <w:spacing w:line="269" w:lineRule="auto" w:before="0" w:after="120"/>
        <w:ind w:left="0" w:right="0" w:firstLine="0"/>
      </w:pPr>
      <w:r>
        <w:rPr>
          <w:rFonts w:ascii="Times New Roman" w:hAnsi="Times New Roman" w:cs="Times New Roman"/>
          <w:sz w:val="23"/>
        </w:rP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Heading2"/>
        <w:ind w:left="0" w:right="0" w:firstLine="0"/>
      </w:pPr>
      <w:r>
        <w:rPr>
          <w:rFonts w:ascii="Times New Roman" w:hAnsi="Times New Roman" w:cs="Times New Roman"/>
          <w:sz w:val="23"/>
        </w:rPr>
        <w:t>4.2 Incremental association with reported price deviations</w:t>
      </w:r>
    </w:p>
    <w:p>
      <w:pPr>
        <w:pStyle w:val="BodyText"/>
        <w:keepNext/>
        <w:keepLines/>
        <w:spacing w:line="269" w:lineRule="auto" w:before="0" w:after="120"/>
        <w:ind w:left="0" w:right="0" w:firstLine="0"/>
      </w:pPr>
      <w:r>
        <w:rPr>
          <w:rFonts w:ascii="Times New Roman" w:hAnsi="Times New Roman" w:cs="Times New Roman"/>
          <w:sz w:val="23"/>
        </w:rPr>
        <w:t xml:space="preserve">For the German comparison, let </w:t>
      </w:r>
      <w:r>
        <w:rPr>
          <w:rFonts w:ascii="Times New Roman" w:hAnsi="Times New Roman" w:cs="Times New Roman"/>
          <w:b w:val="0"/>
          <w:i w:val="1"/>
          <w:sz w:val="23"/>
        </w:rPr>
        <w:t xml:space="preserve">d</w:t>
      </w:r>
      <w:r>
        <w:rPr>
          <w:rFonts w:ascii="Times New Roman" w:hAnsi="Times New Roman" w:cs="Times New Roman"/>
          <w:sz w:val="23"/>
        </w:rPr>
        <w:t xml:space="preserve"> denote the reported basis-point outcome defined in Section 3.3 and let </w:t>
      </w:r>
      <w:r>
        <w:rPr>
          <w:rFonts w:ascii="Times New Roman" w:hAnsi="Times New Roman" w:cs="Times New Roman"/>
          <w:b w:val="0"/>
          <w:i w:val="1"/>
          <w:sz w:val="23"/>
        </w:rPr>
        <w:t xml:space="preserve">x</w:t>
      </w:r>
      <w:r>
        <w:rPr>
          <w:rFonts w:ascii="Times New Roman" w:hAnsi="Times New Roman" w:cs="Times New Roman"/>
          <w:sz w:val="23"/>
        </w:rPr>
        <w:t xml:space="preserve"> be the log-one-plus bid ratio used in quantity specification A. We estimate</w:t>
      </w:r>
    </w:p>
    <w:p>
      <w:pPr>
        <w:pStyle w:val="BodyText"/>
        <w:keepNext w:val="0"/>
        <w:keepLines/>
        <w:spacing w:before="140" w:after="180"/>
        <w:tabs>
          <w:tab w:pos="4900" w:val="center"/>
          <w:tab w:pos="9865" w:val="right"/>
        </w:tabs>
      </w:pPr>
      <w:r>
        <w:rPr>
          <w:rFonts w:ascii="Times New Roman" w:hAnsi="Times New Roman" w:cs="Times New Roman"/>
          <w:sz w:val="23"/>
        </w:rPr>
        <w:tab/>
      </w:r>
      <m:oMath>
        <m:sSub>
          <m:e>
            <m:r>
              <m:t>d</m:t>
            </m:r>
          </m:e>
          <m:sub>
            <m:r>
              <m:t>t</m:t>
            </m:r>
          </m:sub>
        </m:sSub>
        <m:r>
          <m:t> = a + κ </m:t>
        </m:r>
        <m:sSub>
          <m:e>
            <m:r>
              <m:t>x</m:t>
            </m:r>
          </m:e>
          <m:sub>
            <m:r>
              <m:t>t</m:t>
            </m:r>
          </m:sub>
        </m:sSub>
        <m:r>
          <m:t> + </m:t>
        </m:r>
        <m:sSup>
          <m:e>
            <m:r>
              <m:rPr>
                <m:sty m:val="bi"/>
              </m:rPr>
              <m:t>λ</m:t>
            </m:r>
          </m:e>
          <m:sup>
            <m:r>
              <m:t>′</m:t>
            </m:r>
          </m:sup>
        </m:sSup>
        <m:sSub>
          <m:e>
            <m:r>
              <m:rPr>
                <m:sty m:val="bi"/>
              </m:rPr>
              <m:t>c</m:t>
            </m:r>
          </m:e>
          <m:sub>
            <m:r>
              <m:t>t</m:t>
            </m:r>
          </m:sub>
        </m:sSub>
        <m:r>
          <m:t> + </m:t>
        </m:r>
        <m:sSub>
          <m:e>
            <m:r>
              <m:t>η</m:t>
            </m:r>
          </m:e>
          <m:sub>
            <m:r>
              <m:t>Y</m:t>
            </m:r>
          </m:sub>
        </m:sSub>
        <m:r>
          <m:t> + </m:t>
        </m:r>
        <m:sSub>
          <m:e>
            <m:r>
              <m:t>e</m:t>
            </m:r>
          </m:e>
          <m:sub>
            <m:r>
              <m:t>t</m:t>
            </m:r>
          </m:sub>
        </m:sSub>
      </m:oMath>
      <w:r>
        <w:rPr>
          <w:rFonts w:ascii="Times New Roman" w:hAnsi="Times New Roman" w:cs="Times New Roman"/>
          <w:sz w:val="23"/>
        </w:rPr>
        <w:tab/>
        <w:t>(5)</w:t>
      </w:r>
    </w:p>
    <w:p>
      <w:pPr>
        <w:pStyle w:val="BodyText"/>
        <w:keepNext w:val="0"/>
        <w:spacing w:line="269" w:lineRule="auto" w:before="0" w:after="120"/>
        <w:ind w:left="0" w:right="0" w:firstLine="0"/>
      </w:pPr>
      <w:r>
        <w:rPr>
          <w:rFonts w:ascii="Times New Roman" w:hAnsi="Times New Roman" w:cs="Times New Roman"/>
          <w:sz w:val="23"/>
        </w:rPr>
        <w:t xml:space="preserve">Here </w:t>
      </w:r>
      <w:r>
        <w:rPr>
          <w:rFonts w:ascii="Times New Roman" w:hAnsi="Times New Roman" w:cs="Times New Roman"/>
          <w:b w:val="0"/>
          <w:i w:val="1"/>
          <w:sz w:val="23"/>
        </w:rPr>
        <w:t xml:space="preserve">Y</w:t>
      </w:r>
      <w:r>
        <w:rPr>
          <w:rFonts w:ascii="Times New Roman" w:hAnsi="Times New Roman" w:cs="Times New Roman"/>
          <w:sz w:val="23"/>
        </w:rPr>
        <w:t xml:space="preserve"> indexes the calendar year, and the vector </w:t>
      </w:r>
      <w:r>
        <w:rPr>
          <w:rFonts w:ascii="Times New Roman" w:hAnsi="Times New Roman" w:cs="Times New Roman"/>
          <w:b/>
          <w:i w:val="0"/>
          <w:sz w:val="23"/>
        </w:rPr>
        <w:t>c</w:t>
      </w:r>
      <w:r>
        <w:rPr>
          <w:rFonts w:ascii="Times New Roman" w:hAnsi="Times New Roman" w:cs="Times New Roman"/>
          <w:sz w:val="23"/>
        </w:rPr>
        <w:t xml:space="preserve"> contains log auction volume, log total and successful bidder counts, log reported cover ratio, the maximum-minus-minimum submitted price in euros, log same-auction clearing price, and a last-trade indicator when it varies. Year effects replace the year–month effects used for quantities. The primary design has 14 columns, full column rank and 226 residual degrees of freedom. The nested baseline omits only </w:t>
      </w:r>
      <w:r>
        <w:rPr>
          <w:rFonts w:ascii="Times New Roman" w:hAnsi="Times New Roman" w:cs="Times New Roman"/>
          <w:b w:val="0"/>
          <w:i w:val="1"/>
          <w:sz w:val="23"/>
        </w:rPr>
        <w:t xml:space="preserve">x</w:t>
      </w:r>
      <w:r>
        <w:rPr>
          <w:rFonts w:ascii="Times New Roman" w:hAnsi="Times New Roman" w:cs="Times New Roman"/>
          <w:sz w:val="23"/>
        </w:rPr>
        <w:t xml:space="preserve"> and uses exactly the same observations. The focal coefficient </w:t>
      </w:r>
      <w:r>
        <w:rPr>
          <w:rFonts w:ascii="Times New Roman" w:hAnsi="Times New Roman" w:cs="Times New Roman"/>
          <w:b w:val="0"/>
          <w:i w:val="1"/>
          <w:sz w:val="23"/>
        </w:rPr>
        <w:t xml:space="preserve">κ</w:t>
      </w:r>
      <w:r>
        <w:rPr>
          <w:rFonts w:ascii="Times New Roman" w:hAnsi="Times New Roman" w:cs="Times New Roman"/>
          <w:sz w:val="23"/>
        </w:rPr>
        <w:t xml:space="preserve"> is thus defined relative to one fixed and explicit conditioning set.</w:t>
      </w:r>
    </w:p>
    <w:p>
      <w:pPr>
        <w:pStyle w:val="BodyText"/>
        <w:keepNext w:val="0"/>
        <w:spacing w:line="269" w:lineRule="auto" w:before="0" w:after="120"/>
        <w:ind w:left="0" w:right="0" w:firstLine="0"/>
      </w:pPr>
      <w:r>
        <w:rPr>
          <w:rFonts w:ascii="Times New Roman" w:hAnsi="Times New Roman" w:cs="Times New Roman"/>
          <w:sz w:val="23"/>
        </w:rPr>
        <w:t>The controls serve distinct descriptive purposes. Auction volume and participant counts account for scale and breadth. Reported coverage describes aggregate demand relative to supply; it is taken from the verified EEX field rather than reconstructed from another table. The submitted-price range represents variation in offered prices, preventing the quantity measure from being assessed against a baseline that simply omits that established auction dimension. Year indicators remove annual location differences, and the reference-type indicator distinguishes the four last-trade comparisons from last-best-bid comparisons. These roles justify the baseline without implying that its variables exhaust all common determinants.</w:t>
      </w:r>
    </w:p>
    <w:p>
      <w:pPr>
        <w:pStyle w:val="BodyText"/>
        <w:keepNext w:val="0"/>
        <w:spacing w:line="269" w:lineRule="auto" w:before="0" w:after="120"/>
        <w:ind w:left="0" w:right="0" w:firstLine="0"/>
      </w:pPr>
      <w:r>
        <w:rPr>
          <w:rFonts w:ascii="Times New Roman" w:hAnsi="Times New Roman" w:cs="Times New Roman"/>
          <w:sz w:val="23"/>
        </w:rPr>
        <w:t>The price-level control deserves particular attention. It is the clearing price of the same auction, not an independent pre-auction covariate. As a component of the underlying comparison, it makes the coefficient a conditional report relationship rather than a total effect on auction prices. Coverage and successful participation are also simultaneous outcomes. We retain this specification as locked before the first price fit, and do not choose an alternative conditioning set on the basis of significance. No award-dispersion variable is added to construct a bid-to-award-to-price mediation interpretation.</w:t>
      </w:r>
    </w:p>
    <w:p>
      <w:pPr>
        <w:pStyle w:val="BodyText"/>
        <w:keepNext w:val="0"/>
        <w:spacing w:line="269" w:lineRule="auto" w:before="0" w:after="120"/>
        <w:ind w:left="0" w:right="0" w:firstLine="0"/>
      </w:pPr>
      <w:r>
        <w:rPr>
          <w:rFonts w:ascii="Times New Roman" w:hAnsi="Times New Roman" w:cs="Times New Roman"/>
          <w:sz w:val="23"/>
        </w:rPr>
        <w:t xml:space="preserve">The main scale display multiplies </w:t>
      </w:r>
      <w:r>
        <w:rPr>
          <w:rFonts w:ascii="Times New Roman" w:hAnsi="Times New Roman" w:cs="Times New Roman"/>
          <w:b w:val="0"/>
          <w:i w:val="1"/>
          <w:sz w:val="23"/>
        </w:rPr>
        <w:t xml:space="preserve">κ</w:t>
      </w:r>
      <w:r>
        <w:rPr>
          <w:rFonts w:ascii="Times New Roman" w:hAnsi="Times New Roman" w:cs="Times New Roman"/>
          <w:sz w:val="23"/>
        </w:rPr>
        <w:t xml:space="preserve"> by the observed interquartile range (IQR) of transformed </w:t>
      </w:r>
      <w:r>
        <w:rPr>
          <w:rFonts w:ascii="Times New Roman" w:hAnsi="Times New Roman" w:cs="Times New Roman"/>
          <w:b w:val="0"/>
          <w:i w:val="1"/>
          <w:sz w:val="23"/>
        </w:rPr>
        <w:t xml:space="preserve">x</w:t>
      </w:r>
      <w:r>
        <w:rPr>
          <w:rFonts w:ascii="Times New Roman" w:hAnsi="Times New Roman" w:cs="Times New Roman"/>
          <w:sz w:val="23"/>
        </w:rPr>
        <w:t xml:space="preserve">. It expresses a fitted basis-point difference along the partial regression at fixed controls. The observed IQR makes the numerical scale explicit, but it is not evidence that an intervention could move </w:t>
      </w:r>
      <w:r>
        <w:rPr>
          <w:rFonts w:ascii="Times New Roman" w:hAnsi="Times New Roman" w:cs="Times New Roman"/>
          <w:b w:val="0"/>
          <w:i w:val="1"/>
          <w:sz w:val="23"/>
        </w:rPr>
        <w:t xml:space="preserve">x</w:t>
      </w:r>
      <w:r>
        <w:rPr>
          <w:rFonts w:ascii="Times New Roman" w:hAnsi="Times New Roman" w:cs="Times New Roman"/>
          <w:sz w:val="23"/>
        </w:rPr>
        <w:t xml:space="preserve"> through that range without altering the controls. A contrast using the IQR of residualized </w:t>
      </w:r>
      <w:r>
        <w:rPr>
          <w:rFonts w:ascii="Times New Roman" w:hAnsi="Times New Roman" w:cs="Times New Roman"/>
          <w:b w:val="0"/>
          <w:i w:val="1"/>
          <w:sz w:val="23"/>
        </w:rPr>
        <w:t xml:space="preserve">x</w:t>
      </w:r>
      <w:r>
        <w:rPr>
          <w:rFonts w:ascii="Times New Roman" w:hAnsi="Times New Roman" w:cs="Times New Roman"/>
          <w:sz w:val="23"/>
        </w:rPr>
        <w:t xml:space="preserve"> is retained separately in Online Resource 1. Each subset uses its own observed IQR; differences between subset contrasts should not be interpreted as pure slope differences.</w:t>
      </w:r>
    </w:p>
    <w:p>
      <w:pPr>
        <w:pStyle w:val="BodyText"/>
        <w:keepNext w:val="0"/>
        <w:spacing w:line="269" w:lineRule="auto" w:before="0" w:after="120"/>
        <w:ind w:left="0" w:right="0" w:firstLine="0"/>
      </w:pPr>
      <w:r>
        <w:rPr>
          <w:rFonts w:ascii="Times New Roman" w:hAnsi="Times New Roman" w:cs="Times New Roman"/>
          <w:sz w:val="23"/>
        </w:rPr>
        <w:t xml:space="preserve">For inference, we report the quarter-clustered covariance estimator with the CR1 finite-sample correction and use a Student </w:t>
      </w:r>
      <w:r>
        <w:rPr>
          <w:rFonts w:ascii="Times New Roman" w:hAnsi="Times New Roman" w:cs="Times New Roman"/>
          <w:b w:val="0"/>
          <w:i/>
          <w:sz w:val="23"/>
        </w:rPr>
        <w:t>t</w:t>
      </w:r>
      <w:r>
        <w:rPr>
          <w:rFonts w:ascii="Times New Roman" w:hAnsi="Times New Roman" w:cs="Times New Roman"/>
          <w:sz w:val="23"/>
        </w:rPr>
        <w:t xml:space="preserve"> reference with </w:t>
      </w:r>
      <w:r>
        <w:rPr>
          <w:rFonts w:ascii="Times New Roman" w:hAnsi="Times New Roman" w:cs="Times New Roman"/>
          <w:b w:val="0"/>
          <w:i w:val="1"/>
          <w:sz w:val="23"/>
        </w:rPr>
        <w:t xml:space="preserve">G</w:t>
      </w:r>
      <w:r>
        <w:rPr>
          <w:rFonts w:ascii="Times New Roman" w:hAnsi="Times New Roman" w:cs="Times New Roman"/>
          <w:sz w:val="23"/>
        </w:rPr>
        <w:t xml:space="preserve">−1 degrees of freedom, where </w:t>
      </w:r>
      <w:r>
        <w:rPr>
          <w:rFonts w:ascii="Times New Roman" w:hAnsi="Times New Roman" w:cs="Times New Roman"/>
          <w:b w:val="0"/>
          <w:i w:val="1"/>
          <w:sz w:val="23"/>
        </w:rPr>
        <w:t xml:space="preserve">G</w:t>
      </w:r>
      <w:r>
        <w:rPr>
          <w:rFonts w:ascii="Times New Roman" w:hAnsi="Times New Roman" w:cs="Times New Roman"/>
          <w:sz w:val="23"/>
        </w:rPr>
        <w:t xml:space="preserve"> is the number of observed quarters. The primary coefficient also receives one null-imposed wild-cluster </w:t>
      </w:r>
      <w:r>
        <w:rPr>
          <w:rFonts w:ascii="Times New Roman" w:hAnsi="Times New Roman" w:cs="Times New Roman"/>
          <w:b w:val="0"/>
          <w:i/>
          <w:sz w:val="23"/>
        </w:rPr>
        <w:t>t</w:t>
      </w:r>
      <w:r>
        <w:rPr>
          <w:rFonts w:ascii="Times New Roman" w:hAnsi="Times New Roman" w:cs="Times New Roman"/>
          <w:sz w:val="23"/>
        </w:rPr>
        <w:t xml:space="preserve"> test using 999 quarter-level Rademacher draws. A mean-centred delete-quarter jackknife, denoted CV3J, and six fixed leave-one-year-out point estimates provide additional diagnostics (MacKinnon et al. 2023). The CR1 interval is not a bootstrap interval, and agreement across these procedures is not independent replication.</w:t>
      </w:r>
    </w:p>
    <w:p>
      <w:pPr>
        <w:pStyle w:val="BodyText"/>
        <w:keepNext w:val="0"/>
        <w:spacing w:line="269" w:lineRule="auto" w:before="0" w:after="120"/>
        <w:ind w:left="0" w:right="0" w:firstLine="0"/>
      </w:pPr>
      <w:r>
        <w:rPr>
          <w:rFonts w:ascii="Times New Roman" w:hAnsi="Times New Roman" w:cs="Times New Roman"/>
          <w:sz w:val="23"/>
        </w:rPr>
        <w:t>The primary response is signed deviation in the 240-auction sample. Three secondary specifications are fixed: absolute deviation on the same 240 observations, signed deviation in the 203-observation no-row-flag subset, and signed deviation in the 236-observation best-bid subset. Baseline and extended fits always share their own sample. Only the primary coefficient receives the 999-draw test. The secondary results retain their own intervals and do not form a new confirmatory family. Full formulas, the randomization stream and coefficient-scale diagnostics are documented in Online Resource 1, Sections S14–S16.</w:t>
      </w:r>
    </w:p>
    <w:p>
      <w:pPr>
        <w:pStyle w:val="Heading2"/>
        <w:ind w:left="0" w:right="0" w:firstLine="0"/>
      </w:pPr>
      <w:r>
        <w:rPr>
          <w:rFonts w:ascii="Times New Roman" w:hAnsi="Times New Roman" w:cs="Times New Roman"/>
          <w:sz w:val="23"/>
        </w:rPr>
        <w:t>4.3 Exploration, uncertainty and analysis boundaries</w:t>
      </w:r>
    </w:p>
    <w:p>
      <w:pPr>
        <w:pStyle w:val="BodyText"/>
        <w:keepNext w:val="0"/>
        <w:keepLines/>
        <w:widowControl/>
        <w:spacing w:line="269" w:lineRule="auto" w:before="0" w:after="120"/>
        <w:ind w:left="0" w:right="0" w:firstLine="0"/>
      </w:pPr>
      <w:r>
        <w:rPr>
          <w:rFonts w:ascii="Times New Roman" w:hAnsi="Times New Roman" w:cs="Times New Roman"/>
          <w:sz w:val="23"/>
        </w:rP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keepNext w:val="0"/>
        <w:spacing w:line="269" w:lineRule="auto" w:before="0" w:after="120"/>
        <w:ind w:left="0" w:right="0" w:firstLine="0"/>
      </w:pPr>
      <w:r>
        <w:rPr>
          <w:rFonts w:ascii="Times New Roman" w:hAnsi="Times New Roman" w:cs="Times New Roman"/>
          <w:sz w:val="23"/>
        </w:rPr>
        <w:t>The price extension was designed after the quantity findings and after the official source data had been inspected. Its code, focal measure, outcome and three sensitivities were finalized before the first price fit. That sequence reduces ambiguity about which reported specifications were actually executed, but it does not turn the extension into a preregistered study or an untouched holdout. Later descriptive tables supply context without changing the fitted samples. Reordering the exposition to place prices beside quantities changes neither the original analysis roles nor the retrospective character of the work.</w:t>
      </w:r>
    </w:p>
    <w:p>
      <w:pPr>
        <w:pStyle w:val="BodyText"/>
        <w:keepNext w:val="0"/>
        <w:spacing w:line="269" w:lineRule="auto" w:before="0" w:after="120"/>
        <w:ind w:left="0" w:right="0" w:firstLine="0"/>
      </w:pPr>
      <w:r>
        <w:rPr>
          <w:rFonts w:ascii="Times New Roman" w:hAnsi="Times New Roman" w:cs="Times New Roman"/>
          <w:sz w:val="23"/>
        </w:rPr>
        <w:t>A numerical check and a statistical guarantee are different. Agreement between implementations can identify coding inconsistencies, while stored draw statistics allow arithmetic checks of the reported test. Neither establishes that adjacent quarters are independent, that small-cluster approximations have exact coverage, or that all research choices have been adjusted for. We therefore emphasize fitted magnitudes, interval definitions, source restrictions and influence patterns together. No statement of predictive improvement is based on an increase in in-sample fit.</w:t>
      </w:r>
    </w:p>
    <w:p>
      <w:pPr>
        <w:pStyle w:val="BodyText"/>
        <w:keepNext w:val="0"/>
        <w:widowControl/>
        <w:spacing w:line="269" w:lineRule="auto" w:before="0" w:after="120"/>
        <w:ind w:left="0" w:right="0" w:firstLine="0"/>
      </w:pPr>
      <w:r>
        <w:rPr>
          <w:rFonts w:ascii="Times New Roman" w:hAnsi="Times New Roman" w:cs="Times New Roman"/>
          <w:sz w:val="23"/>
        </w:rPr>
        <w:t>Generative AI tools, including ChatGPT, assisted research organization, code-related work, and manuscript drafting and revision. Their use included generative drafting, not only copy editing. The authors remain responsible for the analysis, citations and final manuscript. Each completed numerical stage and its checks are versioned separately. This manuscript integrates those stages without treating later specification decisions as prospective registration.</w:t>
      </w:r>
    </w:p>
    <w:p>
      <w:pPr>
        <w:pStyle w:val="Heading1"/>
        <w:ind w:left="0" w:right="0" w:firstLine="0"/>
      </w:pPr>
      <w:r>
        <w:rPr>
          <w:rFonts w:ascii="Times New Roman" w:hAnsi="Times New Roman" w:cs="Times New Roman"/>
          <w:sz w:val="26"/>
        </w:rPr>
        <w:t>5 Core evidence: quantities and reported prices</w:t>
      </w:r>
    </w:p>
    <w:p>
      <w:pPr>
        <w:pStyle w:val="Heading2"/>
        <w:keepLines/>
        <w:ind w:left="0" w:right="0" w:firstLine="0"/>
      </w:pPr>
      <w:r>
        <w:rPr>
          <w:rFonts w:ascii="Times New Roman" w:hAnsi="Times New Roman" w:cs="Times New Roman"/>
          <w:sz w:val="23"/>
        </w:rPr>
        <w:t>5.1 Magnitude of the bid–award relationship</w:t>
      </w:r>
    </w:p>
    <w:p>
      <w:pPr>
        <w:pStyle w:val="BodyText"/>
        <w:keepNext w:val="0"/>
        <w:keepLines/>
        <w:widowControl/>
        <w:spacing w:after="120" w:line="269" w:lineRule="auto" w:before="0"/>
        <w:ind w:left="0" w:right="0" w:firstLine="0"/>
      </w:pPr>
      <w:r>
        <w:rPr>
          <w:rFonts w:ascii="Times New Roman" w:hAnsi="Times New Roman" w:cs="Times New Roman"/>
          <w:sz w:val="23"/>
        </w:rPr>
        <w:t>The two transformations give nearly identical standardized associations (Table 4).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Caption"/>
        <w:keepNext/>
        <w:keepLines/>
        <w:ind w:left="0" w:right="0" w:firstLine="0"/>
      </w:pPr>
      <w:r>
        <w:rPr>
          <w:rFonts w:ascii="Times New Roman" w:hAnsi="Times New Roman" w:cs="Times New Roman"/>
          <w:b/>
          <w:sz w:val="21"/>
        </w:rPr>
        <w:t>Table 4</w:t>
      </w:r>
      <w:r>
        <w:rPr>
          <w:rFonts w:ascii="Times New Roman" w:hAnsi="Times New Roman" w:cs="Times New Roman"/>
          <w:b w:val="0"/>
          <w:sz w:val="21"/>
        </w:rPr>
        <w:t xml:space="preserve"> Pooled conditional quantity association</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046"/>
        <w:gridCol w:w="1082"/>
        <w:gridCol w:w="2646"/>
        <w:gridCol w:w="1082"/>
        <w:gridCol w:w="3008"/>
      </w:tblGrid>
      <w:tr>
        <w:trPr>
          <w:tblHeader w:val="on"/>
          <w:cantSplit/>
          <w:tblHeader/>
        </w:trPr>
        <w:tc>
          <w:tcPr>
            <w:tcW w:type="dxa" w:w="20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β</m:t>
                  </m:r>
                </m:e>
              </m:acc>
            </m:oMath>
          </w:p>
        </w:tc>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95% interval for</w:t>
            </w:r>
            <w:r>
              <w:rPr>
                <w:rFonts w:ascii="Times New Roman" w:hAnsi="Times New Roman" w:cs="Times New Roman"/>
                <w:b/>
                <w:sz w:val="20"/>
              </w:rPr>
              <w:t xml:space="preserve"> </w:t>
            </w:r>
            <m:oMath>
              <m:r>
                <m:t>β</m:t>
              </m:r>
            </m:oMath>
          </w:p>
        </w:tc>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θ</m:t>
                  </m:r>
                </m:e>
              </m:acc>
            </m:oMath>
          </w:p>
        </w:tc>
        <w:tc>
          <w:tcPr>
            <w:tcW w:type="dxa" w:w="3008"/>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95% interval for</w:t>
            </w:r>
            <w:r>
              <w:rPr>
                <w:rFonts w:ascii="Times New Roman" w:hAnsi="Times New Roman" w:cs="Times New Roman"/>
                <w:b/>
                <w:sz w:val="20"/>
              </w:rPr>
              <w:t xml:space="preserve"> </w:t>
            </w:r>
            <m:oMath>
              <m:r>
                <m:t>θ</m:t>
              </m:r>
            </m:oMath>
          </w:p>
        </w:tc>
      </w:tr>
      <w:tr>
        <w:trPr>
          <w:cantSplit/>
        </w:trPr>
        <w:tc>
          <w:tcPr>
            <w:tcW w:type="dxa" w:w="20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 log-one-plus</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0.8802</w:t>
            </w:r>
          </w:p>
        </w:tc>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[0.7506, 1.0384]</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0.6496</w:t>
            </w:r>
          </w:p>
        </w:tc>
        <w:tc>
          <w:tcPr>
            <w:tcW w:type="dxa" w:w="300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[0.5714, 0.7422]</w:t>
            </w:r>
          </w:p>
        </w:tc>
      </w:tr>
      <w:tr>
        <w:trPr>
          <w:cantSplit/>
        </w:trPr>
        <w:tc>
          <w:tcPr>
            <w:tcW w:type="dxa" w:w="20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 natural log</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0.8797</w:t>
            </w:r>
          </w:p>
        </w:tc>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[0.7627, 1.0143]</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0.6486</w:t>
            </w:r>
          </w:p>
        </w:tc>
        <w:tc>
          <w:tcPr>
            <w:tcW w:type="dxa" w:w="300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[0.5660, 0.7402]</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4.3.</w:t>
      </w:r>
    </w:p>
    <w:p>
      <w:pPr>
        <w:pStyle w:val="BodyText"/>
        <w:keepNext w:val="0"/>
        <w:widowControl/>
        <w:spacing w:line="269" w:lineRule="auto" w:before="0" w:after="120"/>
        <w:ind w:left="0" w:right="0" w:firstLine="0"/>
      </w:pPr>
      <w:r>
        <w:rPr>
          <w:rFonts w:ascii="Times New Roman" w:hAnsi="Times New Roman" w:cs="Times New Roman"/>
          <w:sz w:val="23"/>
        </w:rPr>
        <w:t xml:space="preserve">The partial</w:t>
      </w:r>
      <w:r>
        <w:rPr>
          <w:rFonts w:ascii="Times New Roman" w:hAnsi="Times New Roman" w:cs="Times New Roman"/>
          <w:sz w:val="23"/>
        </w:rPr>
        <w:t xml:space="preserve"> </w:t>
      </w:r>
      <m:oMath>
        <m:sSup>
          <m:e>
            <m:r>
              <m:t>R</m:t>
            </m:r>
          </m:e>
          <m:sup>
            <m:r>
              <m:t>2</m:t>
            </m:r>
          </m:sup>
        </m:sSup>
      </m:oMath>
      <w:r>
        <w:rPr>
          <w:rFonts w:ascii="Times New Roman" w:hAnsi="Times New Roman" w:cs="Times New Roman"/>
          <w:sz w:val="23"/>
        </w:rPr>
        <w:t xml:space="preserve"> </w:t>
      </w:r>
      <w:r>
        <w:rPr>
          <w:rFonts w:ascii="Times New Roman" w:hAnsi="Times New Roman" w:cs="Times New Roman"/>
          <w:sz w:val="23"/>
        </w:rP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keepNext w:val="0"/>
        <w:widowControl/>
        <w:spacing w:line="269" w:lineRule="auto" w:before="0" w:after="120"/>
        <w:ind w:left="0" w:right="0" w:firstLine="0"/>
      </w:pPr>
      <w:r>
        <w:rPr>
          <w:rFonts w:ascii="Times New Roman" w:hAnsi="Times New Roman" w:cs="Times New Roman"/>
          <w:sz w:val="23"/>
        </w:rPr>
        <w:t xml:space="preserve">The pooled correlation intervals remain positive in the one- and six-month block checks (Online Resource 1, Table S2). Both principal slope intervals in Table 4 include one. A slope across reports is not a within-auction comparison of an identical bidder population, however, so its value relative to one does not test dispersion compression.</w:t>
      </w:r>
    </w:p>
    <w:p>
      <w:pPr>
        <w:pStyle w:val="BodyText"/>
        <w:keepNext w:val="0"/>
        <w:spacing w:line="269" w:lineRule="auto" w:before="0" w:after="120"/>
        <w:ind w:left="0" w:right="0" w:firstLine="0"/>
      </w:pPr>
      <w:r>
        <w:rPr>
          <w:rFonts w:ascii="Times New Roman" w:hAnsi="Times New Roman" w:cs="Times New Roman"/>
          <w:sz w:val="23"/>
        </w:rPr>
        <w:t>These pooled estimates establish a relationship between the reported indicators after the specified residualization, rather than simply reflecting their marginal levels. Yet a correlation below one also leaves substantial variation not shared by the two residuals. We therefore do not replace one report field with the other or interpret their agreement as latent-factor identification. The historical and composition analyses in Section 6 ask how far the pooled description extends; they are not needed to define the distinct German price question considered next.</w:t>
      </w:r>
    </w:p>
    <w:p>
      <w:pPr>
        <w:pStyle w:val="Heading2"/>
        <w:ind w:left="0" w:right="0" w:firstLine="0"/>
      </w:pPr>
      <w:r>
        <w:rPr>
          <w:rFonts w:ascii="Times New Roman" w:hAnsi="Times New Roman" w:cs="Times New Roman"/>
          <w:sz w:val="23"/>
        </w:rPr>
        <w:t>5.2 Bid dispersion and the signed price comparison</w:t>
      </w:r>
    </w:p>
    <w:p>
      <w:pPr>
        <w:pStyle w:val="BodyText"/>
        <w:keepNext w:val="0"/>
        <w:keepLines/>
        <w:spacing w:line="269" w:lineRule="auto" w:before="0" w:after="120"/>
        <w:ind w:left="0" w:right="0" w:firstLine="0"/>
      </w:pPr>
      <w:r>
        <w:rPr>
          <w:rFonts w:ascii="Times New Roman" w:hAnsi="Times New Roman" w:cs="Times New Roman"/>
          <w:sz w:val="23"/>
        </w:rPr>
        <w:t xml:space="preserve">Table 5 reports the four fixed price specifications. Adding bid dispersion to the baseline gives </w:t>
      </w:r>
      <w:r>
        <w:rPr>
          <w:rFonts w:ascii="Times New Roman" w:hAnsi="Times New Roman" w:cs="Times New Roman"/>
          <w:b w:val="0"/>
          <w:i w:val="1"/>
          <w:sz w:val="23"/>
        </w:rPr>
        <w:t xml:space="preserve">κ</w:t>
      </w:r>
      <w:r>
        <w:rPr>
          <w:rFonts w:ascii="Times New Roman" w:hAnsi="Times New Roman" w:cs="Times New Roman"/>
          <w:sz w:val="23"/>
        </w:rPr>
        <w:t xml:space="preserve"> = −78.72 basis points per unit of transformed </w:t>
      </w:r>
      <w:r>
        <w:rPr>
          <w:rFonts w:ascii="Times New Roman" w:hAnsi="Times New Roman" w:cs="Times New Roman"/>
          <w:b w:val="0"/>
          <w:i w:val="1"/>
          <w:sz w:val="23"/>
        </w:rPr>
        <w:t xml:space="preserve">x</w:t>
      </w:r>
      <w:r>
        <w:rPr>
          <w:rFonts w:ascii="Times New Roman" w:hAnsi="Times New Roman" w:cs="Times New Roman"/>
          <w:sz w:val="23"/>
        </w:rPr>
        <w:t>, with a quarter-clustered CR1-</w:t>
      </w:r>
      <w:r>
        <w:rPr>
          <w:rFonts w:ascii="Times New Roman" w:hAnsi="Times New Roman" w:cs="Times New Roman"/>
          <w:b w:val="0"/>
          <w:i/>
          <w:sz w:val="23"/>
        </w:rPr>
        <w:t>t</w:t>
      </w:r>
      <w:r>
        <w:rPr>
          <w:rFonts w:ascii="Times New Roman" w:hAnsi="Times New Roman" w:cs="Times New Roman"/>
          <w:sz w:val="23"/>
        </w:rPr>
        <w:t xml:space="preserve"> interval of [−124.80, −32.64]. The observed IQR of </w:t>
      </w:r>
      <w:r>
        <w:rPr>
          <w:rFonts w:ascii="Times New Roman" w:hAnsi="Times New Roman" w:cs="Times New Roman"/>
          <w:b w:val="0"/>
          <w:i w:val="1"/>
          <w:sz w:val="23"/>
        </w:rPr>
        <w:t xml:space="preserve">x</w:t>
      </w:r>
      <w:r>
        <w:rPr>
          <w:rFonts w:ascii="Times New Roman" w:hAnsi="Times New Roman" w:cs="Times New Roman"/>
          <w:sz w:val="23"/>
        </w:rPr>
        <w:t xml:space="preserve"> is 0.1843. Its fitted contrast is therefore −14.51 basis points, with interval [−23.00, −6.01]. This is a negative association with the official signed outcome, conditional on the included contemporaneous variables, not a reconstructed auction discount.</w:t>
      </w:r>
    </w:p>
    <w:p>
      <w:pPr>
        <w:pStyle w:val="Caption"/>
        <w:keepNext/>
        <w:keepLines/>
        <w:ind w:left="0" w:right="0" w:firstLine="0"/>
      </w:pPr>
      <w:r>
        <w:rPr>
          <w:rFonts w:ascii="Times New Roman" w:hAnsi="Times New Roman" w:cs="Times New Roman"/>
          <w:b/>
          <w:sz w:val="21"/>
        </w:rPr>
        <w:t>Table 5</w:t>
      </w:r>
      <w:r>
        <w:rPr>
          <w:rFonts w:ascii="Times New Roman" w:hAnsi="Times New Roman" w:cs="Times New Roman"/>
          <w:b w:val="0"/>
          <w:sz w:val="21"/>
        </w:rPr>
        <w:t xml:space="preserve"> Incremental associations with German reported-price deviations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1862"/>
        <w:gridCol w:w="1058"/>
        <w:gridCol w:w="2320"/>
        <w:gridCol w:w="947"/>
        <w:gridCol w:w="2620"/>
        <w:gridCol w:w="1058"/>
      </w:tblGrid>
      <w:tr>
        <w:trPr>
          <w:tblHeader w:val="true"/>
          <w:cantSplit/>
        </w:trPr>
        <w:tc>
          <w:tcPr>
            <w:tcW w:type="dxa" w:w="1862"/>
            <w:vAlign w:val="center"/>
            <w:tcBorders>
              <w:bottom w:val="single" w:sz="6"/>
            </w:tcBorders>
          </w:tcPr>
          <w:p>
            <w:pPr>
              <w:keepNext/>
              <w:keepLines/>
              <w:spacing w:before="60" w:after="60" w:line="245" w:lineRule="auto"/>
              <w:jc w:val="left"/>
            </w:pPr>
            <w:r>
              <w:rPr>
                <w:rFonts w:ascii="Times New Roman" w:hAnsi="Times New Roman" w:cs="Times New Roman"/>
                <w:b/>
                <w:sz w:val="20"/>
              </w:rPr>
              <w:t>Specification</w:t>
            </w:r>
          </w:p>
        </w:tc>
        <w:tc>
          <w:tcPr>
            <w:tcW w:type="dxa" w:w="1058"/>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n</w:t>
            </w:r>
            <w:r>
              <w:rPr>
                <w:rFonts w:ascii="Times New Roman" w:hAnsi="Times New Roman" w:cs="Times New Roman"/>
                <w:b/>
                <w:sz w:val="20"/>
              </w:rPr>
              <w:t xml:space="preserve"> / </w:t>
            </w:r>
            <w:r>
              <w:rPr>
                <w:rFonts w:ascii="Times New Roman" w:hAnsi="Times New Roman" w:cs="Times New Roman"/>
                <w:b/>
                <w:sz w:val="20"/>
                <w:i w:val="1"/>
              </w:rPr>
              <w:t xml:space="preserve">G</w:t>
            </w:r>
          </w:p>
        </w:tc>
        <w:tc>
          <w:tcPr>
            <w:tcW w:type="dxa" w:w="2320"/>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κ</w:t>
            </w:r>
            <w:r>
              <w:rPr>
                <w:rFonts w:ascii="Times New Roman" w:hAnsi="Times New Roman" w:cs="Times New Roman"/>
                <w:b/>
                <w:sz w:val="20"/>
              </w:rPr>
              <w:t xml:space="preserve"> [95% CI]</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 xml:space="preserve">IQR(</w:t>
            </w:r>
            <w:r>
              <w:rPr>
                <w:rFonts w:ascii="Times New Roman" w:hAnsi="Times New Roman" w:cs="Times New Roman"/>
                <w:b/>
                <w:sz w:val="20"/>
                <w:i w:val="1"/>
              </w:rPr>
              <w:t xml:space="preserve">x</w:t>
            </w:r>
            <w:r>
              <w:rPr>
                <w:rFonts w:ascii="Times New Roman" w:hAnsi="Times New Roman" w:cs="Times New Roman"/>
                <w:b/>
                <w:sz w:val="20"/>
              </w:rPr>
              <w:t xml:space="preserve">)</w:t>
            </w:r>
          </w:p>
        </w:tc>
        <w:tc>
          <w:tcPr>
            <w:tcW w:type="dxa" w:w="2620"/>
            <w:vAlign w:val="center"/>
            <w:tcBorders>
              <w:bottom w:val="single" w:sz="6"/>
            </w:tcBorders>
          </w:tcPr>
          <w:p>
            <w:pPr>
              <w:keepNext/>
              <w:keepLines/>
              <w:spacing w:before="60" w:after="60" w:line="245" w:lineRule="auto"/>
              <w:jc w:val="right"/>
            </w:pPr>
            <w:r>
              <w:rPr>
                <w:rFonts w:ascii="Times New Roman" w:hAnsi="Times New Roman" w:cs="Times New Roman"/>
                <w:b/>
                <w:sz w:val="20"/>
              </w:rPr>
              <w:t>IQR contrast</w:t>
              <w:br/>
              <w:t>[95% CI], bp</w:t>
            </w:r>
          </w:p>
        </w:tc>
        <w:tc>
          <w:tcPr>
            <w:tcW w:type="dxa" w:w="1058"/>
            <w:vAlign w:val="center"/>
            <w:tcBorders>
              <w:bottom w:val="single" w:sz="6"/>
            </w:tcBorders>
          </w:tcPr>
          <w:p>
            <w:pPr>
              <w:keepNext/>
              <w:keepLines/>
              <w:spacing w:before="60" w:after="60" w:line="245" w:lineRule="auto"/>
              <w:jc w:val="right"/>
            </w:pPr>
            <w:r>
              <w:rPr>
                <w:rFonts w:ascii="Times New Roman" w:hAnsi="Times New Roman" w:cs="Times New Roman"/>
                <w:b/>
                <w:sz w:val="20"/>
              </w:rPr>
              <w:t>Partial R²</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Primary: signed</w:t>
            </w:r>
          </w:p>
        </w:tc>
        <w:tc>
          <w:tcPr>
            <w:tcW w:type="dxa" w:w="1058"/>
            <w:vAlign w:val="center"/>
          </w:tcPr>
          <w:p>
            <w:pPr>
              <w:keepNext/>
              <w:keepLines/>
              <w:spacing w:before="60" w:after="60" w:line="245" w:lineRule="auto"/>
              <w:jc w:val="right"/>
            </w:pPr>
            <w:r>
              <w:rPr>
                <w:rFonts w:ascii="Times New Roman" w:hAnsi="Times New Roman" w:cs="Times New Roman"/>
                <w:b w:val="0"/>
                <w:sz w:val="20"/>
              </w:rPr>
              <w:t>240/21</w:t>
            </w:r>
          </w:p>
        </w:tc>
        <w:tc>
          <w:tcPr>
            <w:tcW w:type="dxa" w:w="2320"/>
            <w:vAlign w:val="center"/>
          </w:tcPr>
          <w:p>
            <w:pPr>
              <w:keepNext/>
              <w:keepLines/>
              <w:spacing w:before="60" w:after="60" w:line="245" w:lineRule="auto"/>
              <w:jc w:val="right"/>
            </w:pPr>
            <w:r>
              <w:rPr>
                <w:rFonts w:ascii="Times New Roman" w:hAnsi="Times New Roman" w:cs="Times New Roman"/>
                <w:b w:val="0"/>
                <w:sz w:val="20"/>
              </w:rPr>
              <w:t>−78.72</w:t>
              <w:br/>
              <w:t>[−124.80, −32.64]</w:t>
            </w:r>
          </w:p>
        </w:tc>
        <w:tc>
          <w:tcPr>
            <w:tcW w:type="dxa" w:w="947"/>
            <w:vAlign w:val="center"/>
          </w:tcPr>
          <w:p>
            <w:pPr>
              <w:keepNext/>
              <w:keepLines/>
              <w:spacing w:before="60" w:after="60" w:line="245" w:lineRule="auto"/>
              <w:jc w:val="right"/>
            </w:pPr>
            <w:r>
              <w:rPr>
                <w:rFonts w:ascii="Times New Roman" w:hAnsi="Times New Roman" w:cs="Times New Roman"/>
                <w:b w:val="0"/>
                <w:sz w:val="20"/>
              </w:rPr>
              <w:t>0.1843</w:t>
            </w:r>
          </w:p>
        </w:tc>
        <w:tc>
          <w:tcPr>
            <w:tcW w:type="dxa" w:w="2620"/>
            <w:vAlign w:val="center"/>
          </w:tcPr>
          <w:p>
            <w:pPr>
              <w:keepNext/>
              <w:keepLines/>
              <w:spacing w:before="60" w:after="60" w:line="245" w:lineRule="auto"/>
              <w:jc w:val="right"/>
            </w:pPr>
            <w:r>
              <w:rPr>
                <w:rFonts w:ascii="Times New Roman" w:hAnsi="Times New Roman" w:cs="Times New Roman"/>
                <w:b w:val="0"/>
                <w:sz w:val="20"/>
              </w:rPr>
              <w:t>−14.51</w:t>
              <w:br/>
              <w:t>[−23.00, −6.01]</w:t>
            </w:r>
          </w:p>
        </w:tc>
        <w:tc>
          <w:tcPr>
            <w:tcW w:type="dxa" w:w="1058"/>
            <w:vAlign w:val="center"/>
          </w:tcPr>
          <w:p>
            <w:pPr>
              <w:keepNext/>
              <w:keepLines/>
              <w:spacing w:before="60" w:after="60" w:line="245" w:lineRule="auto"/>
              <w:jc w:val="right"/>
            </w:pPr>
            <w:r>
              <w:rPr>
                <w:rFonts w:ascii="Times New Roman" w:hAnsi="Times New Roman" w:cs="Times New Roman"/>
                <w:b w:val="0"/>
                <w:sz w:val="20"/>
              </w:rPr>
              <w:t>0.0681</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S1: absolute</w:t>
            </w:r>
          </w:p>
        </w:tc>
        <w:tc>
          <w:tcPr>
            <w:tcW w:type="dxa" w:w="1058"/>
            <w:vAlign w:val="center"/>
          </w:tcPr>
          <w:p>
            <w:pPr>
              <w:keepNext/>
              <w:keepLines/>
              <w:spacing w:before="60" w:after="60" w:line="245" w:lineRule="auto"/>
              <w:jc w:val="right"/>
            </w:pPr>
            <w:r>
              <w:rPr>
                <w:rFonts w:ascii="Times New Roman" w:hAnsi="Times New Roman" w:cs="Times New Roman"/>
                <w:b w:val="0"/>
                <w:sz w:val="20"/>
              </w:rPr>
              <w:t>240/21</w:t>
            </w:r>
          </w:p>
        </w:tc>
        <w:tc>
          <w:tcPr>
            <w:tcW w:type="dxa" w:w="2320"/>
            <w:vAlign w:val="center"/>
          </w:tcPr>
          <w:p>
            <w:pPr>
              <w:keepNext/>
              <w:keepLines/>
              <w:spacing w:before="60" w:after="60" w:line="245" w:lineRule="auto"/>
              <w:jc w:val="right"/>
            </w:pPr>
            <w:r>
              <w:rPr>
                <w:rFonts w:ascii="Times New Roman" w:hAnsi="Times New Roman" w:cs="Times New Roman"/>
                <w:b w:val="0"/>
                <w:sz w:val="20"/>
              </w:rPr>
              <w:t>41.35</w:t>
              <w:br/>
              <w:t>[−13.58, 96.29]</w:t>
            </w:r>
          </w:p>
        </w:tc>
        <w:tc>
          <w:tcPr>
            <w:tcW w:type="dxa" w:w="947"/>
            <w:vAlign w:val="center"/>
          </w:tcPr>
          <w:p>
            <w:pPr>
              <w:keepNext/>
              <w:keepLines/>
              <w:spacing w:before="60" w:after="60" w:line="245" w:lineRule="auto"/>
              <w:jc w:val="right"/>
            </w:pPr>
            <w:r>
              <w:rPr>
                <w:rFonts w:ascii="Times New Roman" w:hAnsi="Times New Roman" w:cs="Times New Roman"/>
                <w:b w:val="0"/>
                <w:sz w:val="20"/>
              </w:rPr>
              <w:t>0.1843</w:t>
            </w:r>
          </w:p>
        </w:tc>
        <w:tc>
          <w:tcPr>
            <w:tcW w:type="dxa" w:w="2620"/>
            <w:vAlign w:val="center"/>
          </w:tcPr>
          <w:p>
            <w:pPr>
              <w:keepNext/>
              <w:keepLines/>
              <w:spacing w:before="60" w:after="60" w:line="245" w:lineRule="auto"/>
              <w:jc w:val="right"/>
            </w:pPr>
            <w:r>
              <w:rPr>
                <w:rFonts w:ascii="Times New Roman" w:hAnsi="Times New Roman" w:cs="Times New Roman"/>
                <w:b w:val="0"/>
                <w:sz w:val="20"/>
              </w:rPr>
              <w:t>7.62</w:t>
              <w:br/>
              <w:t>[−2.50, 17.74]</w:t>
            </w:r>
          </w:p>
        </w:tc>
        <w:tc>
          <w:tcPr>
            <w:tcW w:type="dxa" w:w="1058"/>
            <w:vAlign w:val="center"/>
          </w:tcPr>
          <w:p>
            <w:pPr>
              <w:keepNext/>
              <w:keepLines/>
              <w:spacing w:before="60" w:after="60" w:line="245" w:lineRule="auto"/>
              <w:jc w:val="right"/>
            </w:pPr>
            <w:r>
              <w:rPr>
                <w:rFonts w:ascii="Times New Roman" w:hAnsi="Times New Roman" w:cs="Times New Roman"/>
                <w:b w:val="0"/>
                <w:sz w:val="20"/>
              </w:rPr>
              <w:t>0.0189</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S2: no row flags</w:t>
            </w:r>
          </w:p>
        </w:tc>
        <w:tc>
          <w:tcPr>
            <w:tcW w:type="dxa" w:w="1058"/>
            <w:vAlign w:val="center"/>
          </w:tcPr>
          <w:p>
            <w:pPr>
              <w:keepNext/>
              <w:keepLines/>
              <w:spacing w:before="60" w:after="60" w:line="245" w:lineRule="auto"/>
              <w:jc w:val="right"/>
            </w:pPr>
            <w:r>
              <w:rPr>
                <w:rFonts w:ascii="Times New Roman" w:hAnsi="Times New Roman" w:cs="Times New Roman"/>
                <w:b w:val="0"/>
                <w:sz w:val="20"/>
              </w:rPr>
              <w:t>203/18</w:t>
            </w:r>
          </w:p>
        </w:tc>
        <w:tc>
          <w:tcPr>
            <w:tcW w:type="dxa" w:w="2320"/>
            <w:vAlign w:val="center"/>
          </w:tcPr>
          <w:p>
            <w:pPr>
              <w:keepNext/>
              <w:keepLines/>
              <w:spacing w:before="60" w:after="60" w:line="245" w:lineRule="auto"/>
              <w:jc w:val="right"/>
            </w:pPr>
            <w:r>
              <w:rPr>
                <w:rFonts w:ascii="Times New Roman" w:hAnsi="Times New Roman" w:cs="Times New Roman"/>
                <w:b w:val="0"/>
                <w:sz w:val="20"/>
              </w:rPr>
              <w:t>−81.46</w:t>
              <w:br/>
              <w:t>[−138.39, −24.53]</w:t>
            </w:r>
          </w:p>
        </w:tc>
        <w:tc>
          <w:tcPr>
            <w:tcW w:type="dxa" w:w="947"/>
            <w:vAlign w:val="center"/>
          </w:tcPr>
          <w:p>
            <w:pPr>
              <w:keepNext/>
              <w:keepLines/>
              <w:spacing w:before="60" w:after="60" w:line="245" w:lineRule="auto"/>
              <w:jc w:val="right"/>
            </w:pPr>
            <w:r>
              <w:rPr>
                <w:rFonts w:ascii="Times New Roman" w:hAnsi="Times New Roman" w:cs="Times New Roman"/>
                <w:b w:val="0"/>
                <w:sz w:val="20"/>
              </w:rPr>
              <w:t>0.1856</w:t>
            </w:r>
          </w:p>
        </w:tc>
        <w:tc>
          <w:tcPr>
            <w:tcW w:type="dxa" w:w="2620"/>
            <w:vAlign w:val="center"/>
          </w:tcPr>
          <w:p>
            <w:pPr>
              <w:keepNext/>
              <w:keepLines/>
              <w:spacing w:before="60" w:after="60" w:line="245" w:lineRule="auto"/>
              <w:jc w:val="right"/>
            </w:pPr>
            <w:r>
              <w:rPr>
                <w:rFonts w:ascii="Times New Roman" w:hAnsi="Times New Roman" w:cs="Times New Roman"/>
                <w:b w:val="0"/>
                <w:sz w:val="20"/>
              </w:rPr>
              <w:t>−15.12</w:t>
              <w:br/>
              <w:t>[−25.68, −4.55]</w:t>
            </w:r>
          </w:p>
        </w:tc>
        <w:tc>
          <w:tcPr>
            <w:tcW w:type="dxa" w:w="1058"/>
            <w:vAlign w:val="center"/>
          </w:tcPr>
          <w:p>
            <w:pPr>
              <w:keepNext/>
              <w:keepLines/>
              <w:spacing w:before="60" w:after="60" w:line="245" w:lineRule="auto"/>
              <w:jc w:val="right"/>
            </w:pPr>
            <w:r>
              <w:rPr>
                <w:rFonts w:ascii="Times New Roman" w:hAnsi="Times New Roman" w:cs="Times New Roman"/>
                <w:b w:val="0"/>
                <w:sz w:val="20"/>
              </w:rPr>
              <w:t>0.0744</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S3: best bid only</w:t>
            </w:r>
          </w:p>
        </w:tc>
        <w:tc>
          <w:tcPr>
            <w:tcW w:type="dxa" w:w="1058"/>
            <w:vAlign w:val="center"/>
          </w:tcPr>
          <w:p>
            <w:pPr>
              <w:keepNext/>
              <w:keepLines/>
              <w:spacing w:before="60" w:after="60" w:line="245" w:lineRule="auto"/>
              <w:jc w:val="right"/>
            </w:pPr>
            <w:r>
              <w:rPr>
                <w:rFonts w:ascii="Times New Roman" w:hAnsi="Times New Roman" w:cs="Times New Roman"/>
                <w:b w:val="0"/>
                <w:sz w:val="20"/>
              </w:rPr>
              <w:t>236/21</w:t>
            </w:r>
          </w:p>
        </w:tc>
        <w:tc>
          <w:tcPr>
            <w:tcW w:type="dxa" w:w="2320"/>
            <w:vAlign w:val="center"/>
          </w:tcPr>
          <w:p>
            <w:pPr>
              <w:keepNext/>
              <w:keepLines/>
              <w:spacing w:before="60" w:after="60" w:line="245" w:lineRule="auto"/>
              <w:jc w:val="right"/>
            </w:pPr>
            <w:r>
              <w:rPr>
                <w:rFonts w:ascii="Times New Roman" w:hAnsi="Times New Roman" w:cs="Times New Roman"/>
                <w:b w:val="0"/>
                <w:sz w:val="20"/>
              </w:rPr>
              <w:t>−83.62</w:t>
              <w:br/>
              <w:t>[−129.71, −37.54]</w:t>
            </w:r>
          </w:p>
        </w:tc>
        <w:tc>
          <w:tcPr>
            <w:tcW w:type="dxa" w:w="947"/>
            <w:vAlign w:val="center"/>
          </w:tcPr>
          <w:p>
            <w:pPr>
              <w:keepNext/>
              <w:keepLines/>
              <w:spacing w:before="60" w:after="60" w:line="245" w:lineRule="auto"/>
              <w:jc w:val="right"/>
            </w:pPr>
            <w:r>
              <w:rPr>
                <w:rFonts w:ascii="Times New Roman" w:hAnsi="Times New Roman" w:cs="Times New Roman"/>
                <w:b w:val="0"/>
                <w:sz w:val="20"/>
              </w:rPr>
              <w:t>0.1828</w:t>
            </w:r>
          </w:p>
        </w:tc>
        <w:tc>
          <w:tcPr>
            <w:tcW w:type="dxa" w:w="2620"/>
            <w:vAlign w:val="center"/>
          </w:tcPr>
          <w:p>
            <w:pPr>
              <w:keepNext/>
              <w:keepLines/>
              <w:spacing w:before="60" w:after="60" w:line="245" w:lineRule="auto"/>
              <w:jc w:val="right"/>
            </w:pPr>
            <w:r>
              <w:rPr>
                <w:rFonts w:ascii="Times New Roman" w:hAnsi="Times New Roman" w:cs="Times New Roman"/>
                <w:b w:val="0"/>
                <w:sz w:val="20"/>
              </w:rPr>
              <w:t>−15.29</w:t>
              <w:br/>
              <w:t>[−23.71, −6.86]</w:t>
            </w:r>
          </w:p>
        </w:tc>
        <w:tc>
          <w:tcPr>
            <w:tcW w:type="dxa" w:w="1058"/>
            <w:vAlign w:val="center"/>
          </w:tcPr>
          <w:p>
            <w:pPr>
              <w:keepNext/>
              <w:keepLines/>
              <w:spacing w:before="60" w:after="60" w:line="245" w:lineRule="auto"/>
              <w:jc w:val="right"/>
            </w:pPr>
            <w:r>
              <w:rPr>
                <w:rFonts w:ascii="Times New Roman" w:hAnsi="Times New Roman" w:cs="Times New Roman"/>
                <w:b w:val="0"/>
                <w:sz w:val="20"/>
              </w:rPr>
              <w:t>0.0758</w:t>
            </w:r>
          </w:p>
        </w:tc>
      </w:tr>
    </w:tbl>
    <w:p>
      <w:pPr>
        <w:pStyle w:val="TableNote"/>
        <w:keepNext w:val="0"/>
        <w:keepLines/>
        <w:ind w:left="0" w:right="0" w:firstLine="0"/>
      </w:pPr>
      <w:r>
        <w:rPr>
          <w:rFonts w:ascii="Times New Roman" w:hAnsi="Times New Roman" w:cs="Times New Roman"/>
          <w:sz w:val="19"/>
        </w:rPr>
        <w:t xml:space="preserve">Note: </w:t>
      </w:r>
      <w:r>
        <w:rPr>
          <w:rFonts w:ascii="Times New Roman" w:hAnsi="Times New Roman" w:cs="Times New Roman"/>
          <w:sz w:val="19"/>
          <w:i w:val="1"/>
        </w:rPr>
        <w:t xml:space="preserve">n</w:t>
      </w:r>
      <w:r>
        <w:rPr>
          <w:rFonts w:ascii="Times New Roman" w:hAnsi="Times New Roman" w:cs="Times New Roman"/>
          <w:sz w:val="19"/>
        </w:rPr>
        <w:t xml:space="preserve"> is the number of auctions and </w:t>
      </w:r>
      <w:r>
        <w:rPr>
          <w:rFonts w:ascii="Times New Roman" w:hAnsi="Times New Roman" w:cs="Times New Roman"/>
          <w:sz w:val="19"/>
          <w:i w:val="1"/>
        </w:rPr>
        <w:t xml:space="preserve">G</w:t>
      </w:r>
      <w:r>
        <w:rPr>
          <w:rFonts w:ascii="Times New Roman" w:hAnsi="Times New Roman" w:cs="Times New Roman"/>
          <w:sz w:val="19"/>
        </w:rPr>
        <w:t xml:space="preserve"> the number of observed source quarters. </w:t>
      </w:r>
      <w:r>
        <w:rPr>
          <w:rFonts w:ascii="Times New Roman" w:hAnsi="Times New Roman" w:cs="Times New Roman"/>
          <w:sz w:val="19"/>
          <w:i w:val="1"/>
        </w:rPr>
        <w:t xml:space="preserve">κ</w:t>
      </w:r>
      <w:r>
        <w:rPr>
          <w:rFonts w:ascii="Times New Roman" w:hAnsi="Times New Roman" w:cs="Times New Roman"/>
          <w:sz w:val="19"/>
        </w:rPr>
        <w:t xml:space="preserve"> is in basis points per unit of log(1 + bid ratio). Every baseline/extension pair uses identical rows and controls. Intervals use CR1 covariance and t(</w:t>
      </w:r>
      <w:r>
        <w:rPr>
          <w:rFonts w:ascii="Times New Roman" w:hAnsi="Times New Roman" w:cs="Times New Roman"/>
          <w:sz w:val="19"/>
          <w:i w:val="1"/>
        </w:rPr>
        <w:t xml:space="preserve">G</w:t>
      </w:r>
      <w:r>
        <w:rPr>
          <w:rFonts w:ascii="Times New Roman" w:hAnsi="Times New Roman" w:cs="Times New Roman"/>
          <w:sz w:val="19"/>
        </w:rPr>
        <w:t xml:space="preserve">−1), not bootstrap percentiles. IQR contrasts use each sample’s observed transformed-</w:t>
      </w:r>
      <w:r>
        <w:rPr>
          <w:rFonts w:ascii="Times New Roman" w:hAnsi="Times New Roman" w:cs="Times New Roman"/>
          <w:sz w:val="19"/>
          <w:i w:val="1"/>
        </w:rPr>
        <w:t xml:space="preserve">x</w:t>
      </w:r>
      <w:r>
        <w:rPr>
          <w:rFonts w:ascii="Times New Roman" w:hAnsi="Times New Roman" w:cs="Times New Roman"/>
          <w:sz w:val="19"/>
        </w:rPr>
        <w:t xml:space="preserve"> range; partial R² is an in-sample quantity. S1 concerns absolute magnitude and is not the same outcome as the signed models. The primary restricted wild-cluster test gives </w:t>
      </w:r>
      <w:r>
        <w:rPr>
          <w:rFonts w:ascii="Times New Roman" w:hAnsi="Times New Roman" w:cs="Times New Roman"/>
          <w:sz w:val="19"/>
          <w:i w:val="1"/>
        </w:rPr>
        <w:t xml:space="preserve">p</w:t>
      </w:r>
      <w:r>
        <w:rPr>
          <w:rFonts w:ascii="Times New Roman" w:hAnsi="Times New Roman" w:cs="Times New Roman"/>
          <w:sz w:val="19"/>
        </w:rPr>
        <w:t xml:space="preserve"> = 0.005; the primary CV3J coefficient interval is [−136.54, −20.90].</w:t>
      </w:r>
    </w:p>
    <w:p>
      <w:pPr>
        <w:pStyle w:val="BodyText"/>
        <w:keepNext w:val="0"/>
        <w:spacing w:line="269" w:lineRule="auto" w:before="0" w:after="120"/>
        <w:ind w:left="0" w:right="0" w:firstLine="0"/>
      </w:pPr>
      <w:r>
        <w:rPr>
          <w:rFonts w:ascii="Times New Roman" w:hAnsi="Times New Roman" w:cs="Times New Roman"/>
          <w:sz w:val="23"/>
        </w:rPr>
        <w:t>Figure 2 places the fitted IQR contrasts on a common basis-point axis and visibly separates the absolute outcome from the signed comparisons. The price outcome is not centred tightly at one marginal value: its quartiles in Table 3 span −29.00 to 17.25 basis points. A conditional contrast can therefore be substantively readable in these units without being a causal or executable amount. In particular, its size relative to a signed mean that partly cancels positive and negative observations is not an economic return measure.</w:t>
      </w:r>
    </w:p>
    <w:p>
      <w:pPr>
        <w:pStyle w:val="BodyText"/>
        <w:keepNext/>
        <w:spacing w:after="40"/>
        <w:jc w:val="center"/>
      </w:pPr>
      <w:r>
        <w:rPr>
          <w:rFonts w:ascii="Times New Roman" w:hAnsi="Times New Roman" w:cs="Times New Roman"/>
          <w:sz w:val="23"/>
        </w:rPr>
        <w:drawing>
          <wp:inline>
            <wp:extent cx="6264000" cy="3429197"/>
            <wp:docPr id="28" name="Picture 28"/>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3429197"/>
                    </a:xfrm>
                    <a:prstGeom prst="rect"/>
                  </pic:spPr>
                </pic:pic>
              </a:graphicData>
            </a:graphic>
          </wp:inline>
        </w:drawing>
      </w:r>
    </w:p>
    <w:p>
      <w:pPr>
        <w:pStyle w:val="Caption"/>
        <w:keepNext w:val="0"/>
        <w:keepLines/>
        <w:ind w:left="0" w:right="0" w:firstLine="0"/>
      </w:pPr>
      <w:r>
        <w:rPr>
          <w:rFonts w:ascii="Times New Roman" w:hAnsi="Times New Roman" w:cs="Times New Roman"/>
          <w:b/>
          <w:sz w:val="21"/>
        </w:rPr>
        <w:t>Fig. 2</w:t>
      </w:r>
      <w:r>
        <w:rPr>
          <w:rFonts w:ascii="Times New Roman" w:hAnsi="Times New Roman" w:cs="Times New Roman"/>
          <w:b w:val="0"/>
          <w:sz w:val="21"/>
        </w:rPr>
        <w:t xml:space="preserve"> Fitted price-deviation contrasts across the observed interquartile range of transformed bid dispersion. Circles, squares and diamonds identify the three signed-outcome specifications; the triangle below the dotted separator identifies the absolute-outcome specification on the same 240 observations. Bars are exploratory quarter-clustered CR1-t 95% intervals. The vertical line marks zero. The four rows reuse Table 5 and are not independent estimates of a common outcome; no additional regression is introduced</w:t>
      </w:r>
    </w:p>
    <w:p>
      <w:pPr>
        <w:pStyle w:val="BodyText"/>
        <w:keepNext w:val="0"/>
        <w:spacing w:line="269" w:lineRule="auto" w:before="0" w:after="120"/>
        <w:ind w:left="0" w:right="0" w:firstLine="0"/>
      </w:pPr>
      <w:r>
        <w:rPr>
          <w:rFonts w:ascii="Times New Roman" w:hAnsi="Times New Roman" w:cs="Times New Roman"/>
          <w:sz w:val="23"/>
        </w:rPr>
        <w:t xml:space="preserve">The incremental partial coefficient of determination is 0.0681 in the primary model. It measures the reduction in residual sum of squares relative to the same-sample baseline and does not mean that prediction improved by 6.81% or that this proportion of total market variation has been explained. The restricted wild-cluster test yields </w:t>
      </w:r>
      <w:r>
        <w:rPr>
          <w:rFonts w:ascii="Times New Roman" w:hAnsi="Times New Roman" w:cs="Times New Roman"/>
          <w:b w:val="0"/>
          <w:i w:val="1"/>
          <w:sz w:val="23"/>
        </w:rPr>
        <w:t xml:space="preserve">p</w:t>
      </w:r>
      <w:r>
        <w:rPr>
          <w:rFonts w:ascii="Times New Roman" w:hAnsi="Times New Roman" w:cs="Times New Roman"/>
          <w:sz w:val="23"/>
        </w:rPr>
        <w:t xml:space="preserve"> = 0.005, while the mean-centred quarter-jackknife coefficient interval is [−136.54, −20.90]. Both are reported alongside the CR1 interval, not as its source. The number of independent temporal units is not increased by running 999 sign draws.</w:t>
      </w:r>
    </w:p>
    <w:p>
      <w:pPr>
        <w:pStyle w:val="BodyText"/>
        <w:keepNext w:val="0"/>
        <w:spacing w:line="269" w:lineRule="auto" w:before="0" w:after="120"/>
        <w:ind w:left="0" w:right="0" w:firstLine="0"/>
      </w:pPr>
      <w:r>
        <w:rPr>
          <w:rFonts w:ascii="Times New Roman" w:hAnsi="Times New Roman" w:cs="Times New Roman"/>
          <w:sz w:val="23"/>
        </w:rPr>
        <w:t>The source-subset comparisons are close in direction and scale to the primary result. The 203-observation no-row-flag sample has a fitted IQR contrast of −15.12 basis points, with interval [−25.68, −4.55]. The 236-observation best-bid sample gives −15.29, with interval [−23.71, −6.86]. Thus, the signed result is not confined to the four last-trade observations or the records removed by the predefined row-flag restriction. The samples overlap, however, and shared reporting conventions or unobserved quote-age differences remain possible.</w:t>
      </w:r>
    </w:p>
    <w:p>
      <w:pPr>
        <w:pStyle w:val="Heading2"/>
        <w:ind w:left="0" w:right="0" w:firstLine="0"/>
      </w:pPr>
      <w:r>
        <w:rPr>
          <w:rFonts w:ascii="Times New Roman" w:hAnsi="Times New Roman" w:cs="Times New Roman"/>
          <w:sz w:val="23"/>
        </w:rPr>
        <w:t>5.3 Absolute distance and historical influence</w:t>
      </w:r>
    </w:p>
    <w:p>
      <w:pPr>
        <w:pStyle w:val="BodyText"/>
        <w:keepNext w:val="0"/>
        <w:keepLines/>
        <w:spacing w:line="269" w:lineRule="auto" w:before="0" w:after="120"/>
        <w:ind w:left="0" w:right="0" w:firstLine="0"/>
      </w:pPr>
      <w:r>
        <w:rPr>
          <w:rFonts w:ascii="Times New Roman" w:hAnsi="Times New Roman" w:cs="Times New Roman"/>
          <w:sz w:val="23"/>
        </w:rPr>
        <w:t>The absolute-deviation specification yields a fitted IQR contrast of +7.62 basis points, with interval [−2.50, 17.74]. It does not establish a reduction in distance from zero; it also does not establish that the association with absolute magnitude is exactly zero. The positive point estimate should not be hidden because the interval is imprecise. Together, the signed and absolute results distinguish the location of the reported comparison from the magnitude of its deviation, limiting any claim that greater quantity dispersion improves price alignment.</w:t>
      </w:r>
    </w:p>
    <w:p>
      <w:pPr>
        <w:pStyle w:val="BodyText"/>
        <w:keepNext w:val="0"/>
        <w:spacing w:line="269" w:lineRule="auto" w:before="0" w:after="120"/>
        <w:ind w:left="0" w:right="0" w:firstLine="0"/>
      </w:pPr>
      <w:r>
        <w:rPr>
          <w:rFonts w:ascii="Times New Roman" w:hAnsi="Times New Roman" w:cs="Times New Roman"/>
          <w:sz w:val="23"/>
        </w:rPr>
        <w:t>All six leave-year-out coefficients for the signed model are negative, ranging from −88.23 to −45.12. Deleting 2022 changes the full-sample coefficient from −78.72 to −45.12, a substantial attenuation. These estimates are influence checks, not six additional significance tests: no claim is made that the deletion-specific intervals exclude zero. Directional persistence therefore coexists with sensitivity of the magnitude to one historical year. Table S13 reports all six deletions, so the reader can see the pattern rather than infer stability from a summary statement.</w:t>
      </w:r>
    </w:p>
    <w:p>
      <w:pPr>
        <w:pStyle w:val="BodyText"/>
        <w:keepNext w:val="0"/>
        <w:spacing w:line="269" w:lineRule="auto" w:before="0" w:after="120"/>
        <w:ind w:left="0" w:right="0" w:firstLine="0"/>
      </w:pPr>
      <w:r>
        <w:rPr>
          <w:rFonts w:ascii="Times New Roman" w:hAnsi="Times New Roman" w:cs="Times New Roman"/>
          <w:sz w:val="23"/>
        </w:rPr>
        <w:t>These limiting findings are part of the main price evidence. The result that can be retained is an incremental signed association within the fixed model and selected archive. A stronger claim of smaller pricing errors, stable annual strength or an identified demand mechanism would require evidence not supplied by these regressions. The current evidence is therefore useful for distinguishing what the report measure accompanies, without elevating every statistically supported coefficient into an efficiency or trading conclusion.</w:t>
      </w:r>
    </w:p>
    <w:p>
      <w:pPr>
        <w:pStyle w:val="Heading1"/>
        <w:ind w:left="0" w:right="0" w:firstLine="0"/>
      </w:pPr>
      <w:r>
        <w:rPr>
          <w:rFonts w:ascii="Times New Roman" w:hAnsi="Times New Roman" w:cs="Times New Roman"/>
          <w:sz w:val="26"/>
        </w:rPr>
        <w:t>6 Historical scope and supplementary diagnostics</w:t>
      </w:r>
    </w:p>
    <w:p>
      <w:pPr>
        <w:pStyle w:val="Heading2"/>
        <w:keepLines/>
        <w:ind w:left="0" w:right="0" w:firstLine="0"/>
      </w:pPr>
      <w:r>
        <w:rPr>
          <w:rFonts w:ascii="Times New Roman" w:hAnsi="Times New Roman" w:cs="Times New Roman"/>
          <w:sz w:val="23"/>
        </w:rPr>
        <w:t>6.1 Period-specific quantity relationships</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rPr>
          <w:rFonts w:ascii="Times New Roman" w:hAnsi="Times New Roman" w:cs="Times New Roman"/>
          <w:sz w:val="23"/>
        </w:rPr>
        <w:t xml:space="preserve"> </w:t>
      </w:r>
      <w:r>
        <w:rPr>
          <w:rFonts w:ascii="Times New Roman" w:hAnsi="Times New Roman" w:cs="Times New Roman"/>
          <w:i/>
          <w:sz w:val="23"/>
          <w:lang w:val="en-GB"/>
        </w:rPr>
        <w:t xml:space="preserve">Δ</w:t>
      </w:r>
      <w:r>
        <w:rPr>
          <w:rFonts w:ascii="Times New Roman" w:hAnsi="Times New Roman" w:cs="Times New Roman"/>
          <w:i w:val="1"/>
          <w:sz w:val="23"/>
          <w:lang w:val="en-GB"/>
        </w:rPr>
        <w:t xml:space="preserve">β</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β</w:t>
      </w:r>
      <w:r>
        <w:rPr>
          <w:rFonts w:ascii="Times New Roman" w:hAnsi="Times New Roman" w:cs="Times New Roman"/>
          <w:sz w:val="23"/>
          <w:vertAlign w:val="subscript"/>
          <w:lang w:val="en-GB"/>
        </w:rPr>
        <w:t xml:space="preserve">early</w:t>
      </w:r>
      <w:r>
        <w:rPr>
          <w:rFonts w:ascii="Times New Roman" w:hAnsi="Times New Roman" w:cs="Times New Roman"/>
          <w:sz w:val="23"/>
        </w:rPr>
        <w:t xml:space="preserve">. Each transformation receives a 97.5% percentile interval as a Bonferroni-style nominal family-95% sensitivity calculation, conditional on adequate individual interval approximations. We also display the previously computed secondary contrasts</w:t>
      </w:r>
      <w:r>
        <w:rPr>
          <w:rFonts w:ascii="Times New Roman" w:hAnsi="Times New Roman" w:cs="Times New Roman"/>
          <w:sz w:val="23"/>
        </w:rPr>
        <w:t xml:space="preserve"> </w:t>
      </w:r>
      <w:r>
        <w:rPr>
          <w:rFonts w:ascii="Times New Roman" w:hAnsi="Times New Roman" w:cs="Times New Roman"/>
          <w:i/>
          <w:sz w:val="23"/>
          <w:lang w:val="en-GB"/>
        </w:rPr>
        <w:t xml:space="preserve">Δ</w:t>
      </w:r>
      <w:r>
        <w:rPr>
          <w:rFonts w:ascii="Times New Roman" w:hAnsi="Times New Roman" w:cs="Times New Roman"/>
          <w:i w:val="1"/>
          <w:sz w:val="23"/>
          <w:lang w:val="en-GB"/>
        </w:rPr>
        <w:t xml:space="preserve">θ</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θ</w:t>
      </w:r>
      <w:r>
        <w:rPr>
          <w:rFonts w:ascii="Times New Roman" w:hAnsi="Times New Roman" w:cs="Times New Roman"/>
          <w:sz w:val="23"/>
          <w:vertAlign w:val="subscript"/>
          <w:lang w:val="en-GB"/>
        </w:rPr>
        <w:t xml:space="preserve">early</w:t>
      </w:r>
      <w:r>
        <w:rPr>
          <w:rFonts w:ascii="Times New Roman" w:hAnsi="Times New Roman" w:cs="Times New Roman"/>
          <w:sz w:val="23"/>
        </w:rPr>
        <w:t xml:space="preserve"> </w:t>
      </w:r>
      <w:r>
        <w:rPr>
          <w:rFonts w:ascii="Times New Roman" w:hAnsi="Times New Roman" w:cs="Times New Roman"/>
          <w:sz w:val="23"/>
        </w:rP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keepNext w:val="0"/>
        <w:widowControl/>
        <w:spacing w:after="120" w:line="269" w:lineRule="auto" w:before="0"/>
        <w:ind w:left="0" w:right="0" w:firstLine="0"/>
      </w:pPr>
      <w:r>
        <w:rPr>
          <w:rFonts w:ascii="Times New Roman" w:hAnsi="Times New Roman" w:cs="Times New Roman"/>
          <w:sz w:val="23"/>
        </w:rPr>
        <w:t>Conditional association is higher in the later historical sample (Table 6).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Caption"/>
        <w:keepNext/>
        <w:keepLines/>
        <w:ind w:left="0" w:right="0" w:firstLine="0"/>
      </w:pPr>
      <w:r>
        <w:rPr>
          <w:rFonts w:ascii="Times New Roman" w:hAnsi="Times New Roman" w:cs="Times New Roman"/>
          <w:b/>
          <w:sz w:val="21"/>
        </w:rPr>
        <w:t>Table 6</w:t>
      </w:r>
      <w:r>
        <w:rPr>
          <w:rFonts w:ascii="Times New Roman" w:hAnsi="Times New Roman" w:cs="Times New Roman"/>
          <w:b w:val="0"/>
          <w:sz w:val="21"/>
        </w:rPr>
        <w:t xml:space="preserve"> Historical comparison of quantity relationships</w:t>
      </w:r>
    </w:p>
    <w:p>
      <w:pPr>
        <w:pStyle w:val="BodyText"/>
        <w:keepNext/>
        <w:widowControl/>
        <w:spacing w:after="60"/>
        <w:ind w:left="0" w:right="0" w:firstLine="0"/>
      </w:pPr>
      <w:r>
        <w:rPr>
          <w:rFonts w:ascii="Times New Roman" w:hAnsi="Times New Roman" w:cs="Times New Roman"/>
          <w:b/>
          <w:i/>
          <w:iCs/>
          <w:sz w:val="23"/>
        </w:rPr>
        <w:t xml:space="preserve">Panel A: Period-specific estimates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1082"/>
        <w:gridCol w:w="1744"/>
        <w:gridCol w:w="902"/>
        <w:gridCol w:w="1203"/>
        <w:gridCol w:w="4933"/>
      </w:tblGrid>
      <w:tr>
        <w:trPr>
          <w:tblHeader w:val="on"/>
          <w:cantSplit/>
          <w:tblHeader/>
        </w:trPr>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Spec.</w:t>
            </w:r>
          </w:p>
        </w:tc>
        <w:tc>
          <w:tcPr>
            <w:tcW w:type="dxa" w:w="1744"/>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Period</w:t>
            </w:r>
          </w:p>
        </w:tc>
        <w:tc>
          <w:tcPr>
            <w:tcW w:type="dxa" w:w="90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n</m:t>
              </m:r>
            </m:oMath>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β</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m:oMath>
              <m:acc>
                <m:accPr>
                  <m:chr m:val="̂"/>
                </m:accPr>
                <m:e>
                  <m:r>
                    <m:t>θ</m:t>
                  </m:r>
                </m:e>
              </m:acc>
            </m:oMath>
            <w:r>
              <w:rPr>
                <w:rFonts w:ascii="Times New Roman" w:hAnsi="Times New Roman" w:cs="Times New Roman"/>
                <w:b/>
                <w:sz w:val="20"/>
              </w:rPr>
              <w:t xml:space="preserve"> </w:t>
            </w:r>
            <w:r>
              <w:rPr>
                <w:rFonts w:ascii="Times New Roman" w:hAnsi="Times New Roman" w:cs="Times New Roman"/>
                <w:b/>
                <w:sz w:val="20"/>
              </w:rPr>
              <w:t xml:space="preserve">[95% interval]</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2020–2022</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643</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0.6728</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0.5501 [0.4570, 0.6486]</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2023–2025</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638</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1.1825</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0.7798 [0.6757, 0.8892]</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2020–2022</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643</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0.6880</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0.5414 [0.4394, 0.6493]</w:t>
            </w:r>
          </w:p>
        </w:tc>
      </w:tr>
      <w:tr>
        <w:trPr>
          <w:cantSplit/>
        </w:trPr>
        <w:tc>
          <w:tcPr>
            <w:tcW w:type="dxa" w:w="1082"/>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C</w:t>
            </w:r>
          </w:p>
        </w:tc>
        <w:tc>
          <w:tcPr>
            <w:tcW w:type="dxa" w:w="1744"/>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2023–2025</w:t>
            </w:r>
          </w:p>
        </w:tc>
        <w:tc>
          <w:tcPr>
            <w:tcW w:type="dxa" w:w="902"/>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638</w:t>
            </w:r>
          </w:p>
        </w:tc>
        <w:tc>
          <w:tcPr>
            <w:tcW w:type="dxa" w:w="1203"/>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1.1232</w:t>
            </w:r>
          </w:p>
        </w:tc>
        <w:tc>
          <w:tcPr>
            <w:tcW w:type="dxa" w:w="4933"/>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0.7719 [0.6645, 0.8829]</w:t>
            </w:r>
          </w:p>
        </w:tc>
      </w:tr>
    </w:tbl>
    <w:p>
      <w:pPr>
        <w:pStyle w:val="BodyText"/>
        <w:keepNext/>
        <w:widowControl/>
        <w:spacing w:after="60"/>
        <w:ind w:left="0" w:right="0" w:firstLine="0"/>
      </w:pPr>
      <w:r>
        <w:rPr>
          <w:rFonts w:ascii="Times New Roman" w:hAnsi="Times New Roman" w:cs="Times New Roman"/>
          <w:b/>
          <w:i/>
          <w:iCs/>
          <w:sz w:val="23"/>
        </w:rPr>
        <w:t xml:space="preserve">Panel B: Late-minus-early slope differences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2285"/>
        <w:gridCol w:w="493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2285"/>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Δ</m:t>
              </m:r>
              <m:acc>
                <m:accPr>
                  <m:chr m:val="̂"/>
                </m:accPr>
                <m:e>
                  <m:r>
                    <m:t>β</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97.5% interval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0.5097</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[0.3340, 0.7222]</w:t>
            </w:r>
          </w:p>
        </w:tc>
      </w:tr>
      <w:tr>
        <w:trPr>
          <w:cantSplit/>
        </w:trPr>
        <w:tc>
          <w:tcPr>
            <w:tcW w:type="dxa" w:w="2646"/>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C</w:t>
            </w:r>
          </w:p>
        </w:tc>
        <w:tc>
          <w:tcPr>
            <w:tcW w:type="dxa" w:w="2285"/>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0.4353</w:t>
            </w:r>
          </w:p>
        </w:tc>
        <w:tc>
          <w:tcPr>
            <w:tcW w:type="dxa" w:w="4933"/>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[0.2605, 0.6344]</w:t>
            </w:r>
          </w:p>
        </w:tc>
      </w:tr>
    </w:tbl>
    <w:p>
      <w:pPr>
        <w:pStyle w:val="Caption"/>
        <w:keepNext/>
        <w:keepLines/>
        <w:ind w:left="0" w:right="0" w:firstLine="0"/>
      </w:pPr>
      <w:r>
        <w:rPr>
          <w:rFonts w:ascii="Times New Roman" w:hAnsi="Times New Roman" w:cs="Times New Roman"/>
          <w:b/>
          <w:sz w:val="21"/>
        </w:rPr>
        <w:t>Table 6 (continued)</w:t>
      </w:r>
      <w:r>
        <w:rPr>
          <w:rFonts w:ascii="Times New Roman" w:hAnsi="Times New Roman" w:cs="Times New Roman"/>
          <w:b w:val="0"/>
          <w:sz w:val="21"/>
        </w:rPr>
        <w:t xml:space="preserve"> — Panel C: Late-minus-early residual-correlation differences (secondary exploratory contrasts)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2285"/>
        <w:gridCol w:w="493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2285"/>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Δ</m:t>
              </m:r>
              <m:acc>
                <m:accPr>
                  <m:chr m:val="̂"/>
                </m:accPr>
                <m:e>
                  <m:r>
                    <m:t>θ</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Exploratory 95% interval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0.2297</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[0.0875, 0.3681]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0.2305</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[0.0808, 0.3748]</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keepNext w:val="0"/>
        <w:widowControl/>
        <w:spacing w:line="269" w:lineRule="auto" w:before="0" w:after="120"/>
        <w:ind w:left="0" w:right="0" w:firstLine="0"/>
      </w:pPr>
      <w:r>
        <w:rPr>
          <w:rFonts w:ascii="Times New Roman" w:hAnsi="Times New Roman" w:cs="Times New Roman"/>
          <w:sz w:val="23"/>
        </w:rP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rPr>
          <w:rFonts w:ascii="Times New Roman" w:hAnsi="Times New Roman" w:cs="Times New Roman"/>
          <w:sz w:val="23"/>
        </w:rPr>
        <w:t xml:space="preserve"> </w:t>
      </w:r>
      <m:oMath>
        <m:r>
          <m:t>Δ</m:t>
        </m:r>
        <m:r>
          <m:t>β</m:t>
        </m:r>
      </m:oMath>
      <w:r>
        <w:rPr>
          <w:rFonts w:ascii="Times New Roman" w:hAnsi="Times New Roman" w:cs="Times New Roman"/>
          <w:sz w:val="23"/>
        </w:rPr>
        <w:t xml:space="preserve"> </w:t>
      </w:r>
      <w:r>
        <w:rPr>
          <w:rFonts w:ascii="Times New Roman" w:hAnsi="Times New Roman" w:cs="Times New Roman"/>
          <w:sz w:val="23"/>
        </w:rPr>
        <w:t xml:space="preserve">or non-overlap of period-specific bars.</w:t>
      </w:r>
    </w:p>
    <w:p>
      <w:pPr>
        <w:pStyle w:val="BodyText"/>
        <w:keepNext/>
        <w:widowControl/>
        <w:spacing w:before="60" w:after="40"/>
        <w:jc w:val="center"/>
      </w:pPr>
      <w:r>
        <w:rPr>
          <w:rFonts w:ascii="Times New Roman" w:hAnsi="Times New Roman" w:cs="Times New Roman"/>
          <w:sz w:val="23"/>
        </w:rP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Caption"/>
        <w:keepNext w:val="0"/>
        <w:keepLines/>
        <w:widowControl/>
        <w:spacing w:line="250" w:lineRule="auto" w:after="160"/>
        <w:ind w:left="0" w:right="0" w:firstLine="0"/>
      </w:pPr>
      <w:r>
        <w:rPr>
          <w:rFonts w:ascii="Times New Roman" w:hAnsi="Times New Roman" w:cs="Times New Roman"/>
          <w:b/>
          <w:bCs/>
          <w:sz w:val="21"/>
        </w:rPr>
        <w:t xml:space="preserve">Fig. 3</w:t>
      </w:r>
      <w:r>
        <w:rPr>
          <w:rFonts w:ascii="Times New Roman" w:hAnsi="Times New Roman" w:cs="Times New Roman"/>
          <w:b w:val="0"/>
          <w:sz w:val="21"/>
        </w:rPr>
        <w:t xml:space="preserve"> </w:t>
      </w:r>
      <w:r>
        <w:rPr>
          <w:rFonts w:ascii="Times New Roman" w:hAnsi="Times New Roman" w:cs="Times New Roman"/>
          <w:b w:val="0"/>
          <w:sz w:val="21"/>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6, Panel B</w:t>
      </w:r>
    </w:p>
    <w:p>
      <w:pPr>
        <w:pStyle w:val="BodyText"/>
        <w:keepNext w:val="0"/>
        <w:widowControl/>
        <w:spacing w:line="269" w:lineRule="auto" w:before="0" w:after="120"/>
        <w:ind w:left="0" w:right="0" w:firstLine="0"/>
      </w:pPr>
      <w:r>
        <w:rPr>
          <w:rFonts w:ascii="Times New Roman" w:hAnsi="Times New Roman" w:cs="Times New Roman"/>
          <w:sz w:val="23"/>
        </w:rP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p>
      <w:pPr>
        <w:pStyle w:val="BodyText"/>
        <w:keepNext w:val="0"/>
        <w:spacing w:line="269" w:lineRule="auto" w:before="0" w:after="120"/>
        <w:ind w:left="0" w:right="0" w:firstLine="0"/>
      </w:pPr>
      <w:r>
        <w:rPr>
          <w:rFonts w:ascii="Times New Roman" w:hAnsi="Times New Roman" w:cs="Times New Roman"/>
          <w:sz w:val="23"/>
        </w:rPr>
        <w:t>The two periods are historical comparison windows rather than treatment and control groups. The separately fitted nuisance spaces allow the relationship with scale, participation and time to differ, while the transformed residual variances also change. A higher residual correlation therefore means stronger standardized co-variation under those period-specific projections, not proof that one invariant allocation parameter has increased. The direct correlation contrast, rather than the slope interval or the overlap of two marginal intervals, is the relevant statistic for that standardized comparison.</w:t>
      </w:r>
    </w:p>
    <w:p>
      <w:pPr>
        <w:pStyle w:val="Heading2"/>
        <w:ind w:left="0" w:right="0" w:firstLine="0"/>
      </w:pPr>
      <w:r>
        <w:rPr>
          <w:rFonts w:ascii="Times New Roman" w:hAnsi="Times New Roman" w:cs="Times New Roman"/>
          <w:sz w:val="23"/>
        </w:rPr>
        <w:t>6.2 Standardizing selected composition moments</w:t>
      </w:r>
    </w:p>
    <w:p>
      <w:pPr>
        <w:pStyle w:val="BodyText"/>
        <w:keepNext w:val="0"/>
        <w:keepLines/>
        <w:spacing w:line="269" w:lineRule="auto" w:before="0" w:after="120"/>
        <w:ind w:left="0" w:right="0" w:firstLine="0"/>
      </w:pPr>
      <w:r>
        <w:rPr>
          <w:rFonts w:ascii="Times New Roman" w:hAnsi="Times New Roman" w:cs="Times New Roman"/>
          <w:sz w:val="23"/>
        </w:rPr>
        <w:t>To examine observable composition, we use the descriptive overlap-weighting design of Li et al. (2018). A single unpenalized logistic model predicts later-period membership from standardized log controls, their squared terms, reporting-series indicators and month-of-year indicators. Neither dispersion indicator nor price enters the weight model; year and specific year–month are also excluded. Weights emphasize characteristics represented in both periods. Within each period, the original quantity projection and its residual correlation are re-estimated using the same weights on both indicators. Each time-block draw refits both the weighting and outcome steps. Full implementation details are in Online Resource 1, Section S10.</w:t>
      </w:r>
    </w:p>
    <w:p>
      <w:pPr>
        <w:pStyle w:val="BodyText"/>
        <w:keepNext w:val="0"/>
        <w:widowControl/>
        <w:spacing w:line="269" w:lineRule="auto" w:before="0" w:after="120"/>
        <w:ind w:left="0" w:right="0" w:firstLine="0"/>
      </w:pPr>
      <w:r>
        <w:rPr>
          <w:rFonts w:ascii="Times New Roman" w:hAnsi="Times New Roman" w:cs="Times New Roman"/>
          <w:sz w:val="23"/>
        </w:rPr>
        <w:t>The overlap-weighted differences remain positive: 0.1971 under A and 0.1937 under C (Table 7).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Caption"/>
        <w:keepNext/>
        <w:keepLines/>
        <w:ind w:left="0" w:right="0" w:firstLine="0"/>
      </w:pPr>
      <w:r>
        <w:rPr>
          <w:rFonts w:ascii="Times New Roman" w:hAnsi="Times New Roman" w:cs="Times New Roman"/>
          <w:b/>
          <w:sz w:val="21"/>
        </w:rPr>
        <w:t>Table 7</w:t>
      </w:r>
      <w:r>
        <w:rPr>
          <w:rFonts w:ascii="Times New Roman" w:hAnsi="Times New Roman" w:cs="Times New Roman"/>
          <w:b w:val="0"/>
          <w:sz w:val="21"/>
        </w:rPr>
        <w:t xml:space="preserve"> Composition-weighted association and distributional diagnostics</w:t>
      </w:r>
    </w:p>
    <w:p>
      <w:pPr>
        <w:pStyle w:val="BodyText"/>
        <w:keepNext/>
        <w:widowControl/>
        <w:spacing w:after="60"/>
        <w:ind w:left="0" w:right="0" w:firstLine="0"/>
      </w:pPr>
      <w:r>
        <w:rPr>
          <w:rFonts w:ascii="Times New Roman" w:hAnsi="Times New Roman" w:cs="Times New Roman"/>
          <w:b/>
          <w:sz w:val="23"/>
        </w:rPr>
        <w:t>Panel A: Weighted residual correlations and late-minus-early differences</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1082"/>
        <w:gridCol w:w="1444"/>
        <w:gridCol w:w="1444"/>
        <w:gridCol w:w="1564"/>
        <w:gridCol w:w="4331"/>
      </w:tblGrid>
      <w:tr>
        <w:trPr>
          <w:cantSplit/>
          <w:tblHeader/>
        </w:trPr>
        <w:tc>
          <w:tcPr>
            <w:tcW w:type="dxa" w:w="1082"/>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Spec.</w:t>
            </w:r>
          </w:p>
        </w:tc>
        <w:tc>
          <w:tcPr>
            <w:tcW w:type="dxa" w:w="144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 xml:space="preserve">Early </w:t>
            </w:r>
            <w:r>
              <w:rPr>
                <w:rFonts w:ascii="Times New Roman" w:hAnsi="Times New Roman" w:cs="Times New Roman"/>
                <w:b/>
                <w:sz w:val="20"/>
                <w:i w:val="1"/>
              </w:rPr>
              <w:t xml:space="preserve">θ</w:t>
            </w:r>
          </w:p>
        </w:tc>
        <w:tc>
          <w:tcPr>
            <w:tcW w:type="dxa" w:w="144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 xml:space="preserve">Late </w:t>
            </w:r>
            <w:r>
              <w:rPr>
                <w:rFonts w:ascii="Times New Roman" w:hAnsi="Times New Roman" w:cs="Times New Roman"/>
                <w:b/>
                <w:sz w:val="20"/>
                <w:i w:val="1"/>
              </w:rPr>
              <w:t xml:space="preserve">θ</w:t>
            </w:r>
          </w:p>
        </w:tc>
        <w:tc>
          <w:tcPr>
            <w:tcW w:type="dxa" w:w="156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Difference</w:t>
            </w:r>
          </w:p>
        </w:tc>
        <w:tc>
          <w:tcPr>
            <w:tcW w:type="dxa" w:w="4331"/>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97.5% interval</w:t>
            </w:r>
          </w:p>
        </w:tc>
      </w:tr>
      <w:tr>
        <w:trPr>
          <w:cantSplit/>
        </w:trPr>
        <w:tc>
          <w:tcPr>
            <w:tcW w:type="dxa" w:w="108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w:t>
            </w:r>
          </w:p>
        </w:tc>
        <w:tc>
          <w:tcPr>
            <w:tcW w:type="dxa" w:w="144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0.5703</w:t>
            </w:r>
          </w:p>
        </w:tc>
        <w:tc>
          <w:tcPr>
            <w:tcW w:type="dxa" w:w="144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0.7675</w:t>
            </w:r>
          </w:p>
        </w:tc>
        <w:tc>
          <w:tcPr>
            <w:tcW w:type="dxa" w:w="156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0.1971</w:t>
            </w:r>
          </w:p>
        </w:tc>
        <w:tc>
          <w:tcPr>
            <w:tcW w:type="dxa" w:w="4331"/>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[0.0947, 0.3029]</w:t>
            </w:r>
          </w:p>
        </w:tc>
      </w:tr>
      <w:tr>
        <w:trPr>
          <w:cantSplit/>
        </w:trPr>
        <w:tc>
          <w:tcPr>
            <w:tcW w:type="dxa" w:w="1082"/>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C</w:t>
            </w:r>
          </w:p>
        </w:tc>
        <w:tc>
          <w:tcPr>
            <w:tcW w:type="dxa" w:w="144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0.5649</w:t>
            </w:r>
          </w:p>
        </w:tc>
        <w:tc>
          <w:tcPr>
            <w:tcW w:type="dxa" w:w="144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0.7586</w:t>
            </w:r>
          </w:p>
        </w:tc>
        <w:tc>
          <w:tcPr>
            <w:tcW w:type="dxa" w:w="156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0.1937</w:t>
            </w:r>
          </w:p>
        </w:tc>
        <w:tc>
          <w:tcPr>
            <w:tcW w:type="dxa" w:w="4331"/>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[0.0847, 0.3051]</w:t>
            </w:r>
          </w:p>
        </w:tc>
      </w:tr>
    </w:tbl>
    <w:p>
      <w:pPr>
        <w:pStyle w:val="BodyText"/>
        <w:keepNext/>
        <w:widowControl/>
        <w:spacing w:after="60"/>
        <w:ind w:left="0" w:right="0" w:firstLine="0"/>
      </w:pPr>
      <w:r>
        <w:rPr>
          <w:rFonts w:ascii="Times New Roman" w:hAnsi="Times New Roman" w:cs="Times New Roman"/>
          <w:b/>
          <w:sz w:val="23"/>
        </w:rPr>
        <w:t>Panel B: Empirical distribution distances before and after weighting</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4090"/>
        <w:gridCol w:w="2887"/>
        <w:gridCol w:w="2887"/>
      </w:tblGrid>
      <w:tr>
        <w:trPr>
          <w:cantSplit/>
          <w:tblHeader/>
        </w:trPr>
        <w:tc>
          <w:tcPr>
            <w:tcW w:type="dxa" w:w="4090"/>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Log variable</w:t>
            </w:r>
          </w:p>
        </w:tc>
        <w:tc>
          <w:tcPr>
            <w:tcW w:type="dxa" w:w="288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Original KS distance</w:t>
            </w:r>
          </w:p>
        </w:tc>
        <w:tc>
          <w:tcPr>
            <w:tcW w:type="dxa" w:w="288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Weighted KS distance</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Auction volume</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0.2810</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0.2908</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Total bidders</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0.1080</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0.0364</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Successful bidders</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0.0454</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0.0201</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Cover ratio</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0.1142</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0.0579</w:t>
            </w:r>
          </w:p>
        </w:tc>
      </w:tr>
    </w:tbl>
    <w:p>
      <w:pPr>
        <w:pStyle w:val="TableNote"/>
        <w:keepNext w:val="0"/>
        <w:keepLines/>
        <w:widowControl/>
        <w:spacing w:line="250" w:lineRule="auto" w:after="160"/>
        <w:ind w:left="0" w:right="0" w:firstLine="0"/>
      </w:pPr>
      <w:r>
        <w:rPr>
          <w:rFonts w:ascii="Times New Roman" w:hAnsi="Times New Roman" w:cs="Times New Roman"/>
          <w:sz w:val="19"/>
        </w:rPr>
        <w:t xml:space="preserve">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w:t>
      </w:r>
      <w:r>
        <w:rPr>
          <w:rFonts w:ascii="Times New Roman" w:hAnsi="Times New Roman" w:cs="Times New Roman"/>
          <w:sz w:val="19"/>
          <w:i w:val="1"/>
        </w:rPr>
        <w:t xml:space="preserve">p</w:t>
      </w:r>
      <w:r>
        <w:rPr>
          <w:rFonts w:ascii="Times New Roman" w:hAnsi="Times New Roman" w:cs="Times New Roman"/>
          <w:sz w:val="19"/>
        </w:rPr>
        <w:t xml:space="preserve">-value. Tables S7–S8 provide paired changes and block sensitivities.</w:t>
      </w:r>
    </w:p>
    <w:p>
      <w:pPr>
        <w:pStyle w:val="BodyText"/>
        <w:keepNext w:val="0"/>
        <w:widowControl/>
        <w:spacing w:line="269" w:lineRule="auto" w:before="0" w:after="120"/>
        <w:ind w:left="0" w:right="0" w:firstLine="0"/>
      </w:pPr>
      <w:r>
        <w:rPr>
          <w:rFonts w:ascii="Times New Roman" w:hAnsi="Times New Roman" w:cs="Times New Roman"/>
          <w:sz w:val="23"/>
        </w:rP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BodyText"/>
        <w:keepNext w:val="0"/>
        <w:spacing w:line="269" w:lineRule="auto" w:before="0" w:after="120"/>
        <w:ind w:left="0" w:right="0" w:firstLine="0"/>
      </w:pPr>
      <w:r>
        <w:rPr>
          <w:rFonts w:ascii="Times New Roman" w:hAnsi="Times New Roman" w:cs="Times New Roman"/>
          <w:sz w:val="23"/>
        </w:rPr>
        <w:t>This separates balancing properties from empirical robustness. The fitted logistic overlap weights balance the included moments, but that property does not authenticate a common full covariate distribution or an as-if-random period assignment. The failure of the auction-volume distribution check is therefore retained next to the positive contrasts. The analysis supports persistence under this selected-moment standardization; it cannot rule out remaining composition explanations or quantify the share of the period difference attributable to them.</w:t>
      </w:r>
    </w:p>
    <w:p>
      <w:pPr>
        <w:pStyle w:val="Heading2"/>
        <w:ind w:left="0" w:right="0" w:firstLine="0"/>
      </w:pPr>
      <w:r>
        <w:rPr>
          <w:rFonts w:ascii="Times New Roman" w:hAnsi="Times New Roman" w:cs="Times New Roman"/>
          <w:sz w:val="23"/>
        </w:rPr>
        <w:t>6.3 Additional 2026 quantity evidence</w:t>
      </w:r>
    </w:p>
    <w:p>
      <w:pPr>
        <w:pStyle w:val="BodyText"/>
        <w:keepNext w:val="0"/>
        <w:keepLines/>
        <w:widowControl/>
        <w:spacing w:line="269" w:lineRule="auto" w:before="0" w:after="120"/>
        <w:ind w:left="0" w:right="0" w:firstLine="0"/>
      </w:pPr>
      <w:r>
        <w:rPr>
          <w:rFonts w:ascii="Times New Roman" w:hAnsi="Times New Roman" w:cs="Times New Roman"/>
          <w:sz w:val="23"/>
        </w:rP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keepNext w:val="0"/>
        <w:widowControl/>
        <w:spacing w:line="269" w:lineRule="auto" w:before="0" w:after="120"/>
        <w:ind w:left="0" w:right="0" w:firstLine="0"/>
      </w:pPr>
      <w:r>
        <w:rPr>
          <w:rFonts w:ascii="Times New Roman" w:hAnsi="Times New Roman" w:cs="Times New Roman"/>
          <w:sz w:val="23"/>
        </w:rP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BodyText"/>
        <w:keepNext w:val="0"/>
        <w:widowControl/>
        <w:spacing w:line="269" w:lineRule="auto" w:before="0" w:after="120"/>
        <w:ind w:left="0" w:right="0" w:firstLine="0"/>
      </w:pPr>
      <w:r>
        <w:rPr>
          <w:rFonts w:ascii="Times New Roman" w:hAnsi="Times New Roman" w:cs="Times New Roman"/>
          <w:sz w:val="23"/>
        </w:rP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keepNext w:val="0"/>
        <w:widowControl/>
        <w:spacing w:line="269" w:lineRule="auto" w:before="0" w:after="120"/>
        <w:ind w:left="0" w:right="0" w:firstLine="0"/>
      </w:pPr>
      <w:r>
        <w:rPr>
          <w:rFonts w:ascii="Times New Roman" w:hAnsi="Times New Roman" w:cs="Times New Roman"/>
          <w:sz w:val="23"/>
        </w:rP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BodyText"/>
        <w:keepNext w:val="0"/>
        <w:spacing w:line="269" w:lineRule="auto" w:before="0" w:after="120"/>
        <w:ind w:left="0" w:right="0" w:firstLine="0"/>
      </w:pPr>
      <w:r>
        <w:rPr>
          <w:rFonts w:ascii="Times New Roman" w:hAnsi="Times New Roman" w:cs="Times New Roman"/>
          <w:sz w:val="23"/>
        </w:rPr>
        <w:t>The added time segment answers whether a similarly defined report relationship recurs in a later sample, not whether the historical model forecasts it. Its short span also means that a narrow numerical range can coexist with weak information about repeated-sample temporal uncertainty. Enumerating all permitted block combinations removes Monte Carlo variation from that finite calculation, but does not create additional months. The original results, circular and non-circular enumerations, and deletion ranges remain visible together rather than selecting a preferred range after comparing their endpoints.</w:t>
      </w:r>
    </w:p>
    <w:p>
      <w:pPr>
        <w:pStyle w:val="Heading2"/>
        <w:ind w:left="0" w:right="0" w:firstLine="0"/>
      </w:pPr>
      <w:r>
        <w:rPr>
          <w:rFonts w:ascii="Times New Roman" w:hAnsi="Times New Roman" w:cs="Times New Roman"/>
          <w:sz w:val="23"/>
        </w:rPr>
        <w:t>6.4 Conditioning sets, influence and reporting series</w:t>
      </w:r>
    </w:p>
    <w:p>
      <w:pPr>
        <w:pStyle w:val="BodyText"/>
        <w:keepNext w:val="0"/>
        <w:keepLines/>
        <w:spacing w:line="269" w:lineRule="auto" w:before="0" w:after="120"/>
        <w:ind w:left="0" w:right="0" w:firstLine="0"/>
      </w:pPr>
      <w:r>
        <w:rPr>
          <w:rFonts w:ascii="Times New Roman" w:hAnsi="Times New Roman" w:cs="Times New Roman"/>
          <w:sz w:val="23"/>
        </w:rPr>
        <w:t>The pooled quantity association is not confined to the full conditioning set. With reporting-series and year–month effects alone, residual correlations are 0.6243 and 0.6197. Adding auction volume and total bidders gives 0.6289 and 0.6239. Online Resource 1, Fig. S1 and Table S6, present these comparisons and their intervals. The result therefore exists without conditioning on coverage and successful participation, although reduced controls are not an instrument, an exogeneity test or a way to remove every shared determinant.</w:t>
      </w:r>
    </w:p>
    <w:p>
      <w:pPr>
        <w:pStyle w:val="BodyText"/>
        <w:keepNext w:val="0"/>
        <w:widowControl/>
        <w:spacing w:line="269" w:lineRule="auto" w:before="0" w:after="120"/>
        <w:ind w:left="0" w:right="0" w:firstLine="0"/>
      </w:pPr>
      <w:r>
        <w:rPr>
          <w:rFonts w:ascii="Times New Roman" w:hAnsi="Times New Roman" w:cs="Times New Roman"/>
          <w:sz w:val="23"/>
        </w:rP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p>
      <w:pPr>
        <w:pStyle w:val="BodyText"/>
        <w:keepNext w:val="0"/>
        <w:spacing w:line="269" w:lineRule="auto" w:before="0" w:after="120"/>
        <w:ind w:left="0" w:right="0" w:firstLine="0"/>
      </w:pPr>
      <w:r>
        <w:rPr>
          <w:rFonts w:ascii="Times New Roman" w:hAnsi="Times New Roman" w:cs="Times New Roman"/>
          <w:sz w:val="23"/>
        </w:rPr>
        <w:t>The completed diagnostics have specific roles. Deleting a month or year assesses the influence of that segment on a historical projection; deleting one auction examines sensitivity to an observation; changing a conditioning set changes the question being asked. None generates a fresh market sample. The absence of a sign reversal in those checks should consequently be read as bounded sensitivity evidence, not a claim that the selected indicator has universal performance across carbon markets.</w:t>
      </w:r>
      <w:r>
        <w:t xml:space="preserve"> The fixed Cook-distance checks (Cook 1977) are reported in Online Resource 1, Table S3.</w:t>
      </w:r>
    </w:p>
    <w:p>
      <w:pPr>
        <w:pStyle w:val="Heading1"/>
        <w:ind w:left="0" w:right="0" w:firstLine="0"/>
      </w:pPr>
      <w:r>
        <w:rPr>
          <w:rFonts w:ascii="Times New Roman" w:hAnsi="Times New Roman" w:cs="Times New Roman"/>
          <w:sz w:val="26"/>
        </w:rPr>
        <w:t>7 Discussion</w:t>
      </w:r>
    </w:p>
    <w:p>
      <w:pPr>
        <w:pStyle w:val="Heading2"/>
        <w:keepLines/>
        <w:ind w:left="0" w:right="0" w:firstLine="0"/>
      </w:pPr>
      <w:r>
        <w:rPr>
          <w:rFonts w:ascii="Times New Roman" w:hAnsi="Times New Roman" w:cs="Times New Roman"/>
          <w:sz w:val="23"/>
        </w:rPr>
        <w:t>7.1 What the two relationships add</w:t>
      </w:r>
    </w:p>
    <w:p>
      <w:pPr>
        <w:pStyle w:val="BodyText"/>
        <w:keepNext w:val="0"/>
        <w:keepLines/>
        <w:spacing w:line="269" w:lineRule="auto" w:before="0" w:after="120"/>
        <w:ind w:left="0" w:right="0" w:firstLine="0"/>
      </w:pPr>
      <w:r>
        <w:rPr>
          <w:rFonts w:ascii="Times New Roman" w:hAnsi="Times New Roman" w:cs="Times New Roman"/>
          <w:sz w:val="23"/>
        </w:rPr>
        <w:t>The evidence extends a purely marginal description of auction statistics in two directions. First, the bid and award ratios share variation beyond the included scale, participation and time factors. Second, the bid ratio is associated with an official price-comparison outcome after adding submitted-price range and the same-auction price level to the price baseline. The latter relationship is not established by the former: the bid–award correlation alone says nothing about a price coefficient. Keeping them separate avoids turning a pair of regressions into an untested mechanism.</w:t>
      </w:r>
    </w:p>
    <w:p>
      <w:pPr>
        <w:pStyle w:val="BodyText"/>
        <w:keepNext w:val="0"/>
        <w:spacing w:line="269" w:lineRule="auto" w:before="0" w:after="120"/>
        <w:ind w:left="0" w:right="0" w:firstLine="0"/>
      </w:pPr>
      <w:r>
        <w:rPr>
          <w:rFonts w:ascii="Times New Roman" w:hAnsi="Times New Roman" w:cs="Times New Roman"/>
          <w:sz w:val="23"/>
        </w:rPr>
        <w:t>The price extension is particularly relevant to the distinction between demand intensity and demand dispersion. Coverage records the aggregate comparison with available volume, while the focal ratio describes a reported quantity distribution. The negative signed coefficient remains conditional on that coverage measure and on participant counts. Within this model, the quantity measure is therefore not entirely redundant with the specified conventional indicators for describing the signed price outcome. This is narrower than saying it contains independent structural information, because nonlinear dependence, omitted contemporaneous factors and reporting conventions remain possible.</w:t>
      </w:r>
    </w:p>
    <w:p>
      <w:pPr>
        <w:pStyle w:val="BodyText"/>
        <w:keepNext w:val="0"/>
        <w:spacing w:line="269" w:lineRule="auto" w:before="0" w:after="120"/>
        <w:ind w:left="0" w:right="0" w:firstLine="0"/>
      </w:pPr>
      <w:r>
        <w:rPr>
          <w:rFonts w:ascii="Times New Roman" w:hAnsi="Times New Roman" w:cs="Times New Roman"/>
          <w:sz w:val="23"/>
        </w:rPr>
        <w:t>The historical quantity comparison adds a complementary caution. A reduction in marginal indicator levels can occur alongside stronger co-variation. Reading only a median would not reveal the latter, while a single pooled correlation would not reveal its historical scope. The selected-moment weighting and additional time segment do not remove every alternative explanation, but they make that scope explicit. The empirical contribution is thus not a claim that the reporting statistics are defective or interchangeable; it is a more differentiated account of what their levels and relationships describe.</w:t>
      </w:r>
    </w:p>
    <w:p>
      <w:pPr>
        <w:pStyle w:val="Heading2"/>
        <w:ind w:left="0" w:right="0" w:firstLine="0"/>
      </w:pPr>
      <w:r>
        <w:rPr>
          <w:rFonts w:ascii="Times New Roman" w:hAnsi="Times New Roman" w:cs="Times New Roman"/>
          <w:sz w:val="23"/>
        </w:rPr>
        <w:t>7.2 Price position, distance and economic interpretation</w:t>
      </w:r>
    </w:p>
    <w:p>
      <w:pPr>
        <w:pStyle w:val="BodyText"/>
        <w:keepNext w:val="0"/>
        <w:keepLines/>
        <w:spacing w:line="269" w:lineRule="auto" w:before="0" w:after="120"/>
        <w:ind w:left="0" w:right="0" w:firstLine="0"/>
      </w:pPr>
      <w:r>
        <w:rPr>
          <w:rFonts w:ascii="Times New Roman" w:hAnsi="Times New Roman" w:cs="Times New Roman"/>
          <w:sz w:val="23"/>
        </w:rPr>
        <w:t>The price extension changes what can be said about the quantity indicator. It is not associated only with another quantity summary: within the selected German reports, it also carries incremental conditional information about the signed price comparison beyond demand coverage, participation and submitted-price range. The finding remains specific to that baseline, sample and report convention. It does not mean that quantity dispersion is an exogenous driver of the clearing price.</w:t>
      </w:r>
    </w:p>
    <w:p>
      <w:pPr>
        <w:pStyle w:val="BodyText"/>
        <w:keepNext w:val="0"/>
        <w:spacing w:line="269" w:lineRule="auto" w:before="0" w:after="120"/>
        <w:ind w:left="0" w:right="0" w:firstLine="0"/>
      </w:pPr>
      <w:r>
        <w:rPr>
          <w:rFonts w:ascii="Times New Roman" w:hAnsi="Times New Roman" w:cs="Times New Roman"/>
          <w:sz w:val="23"/>
        </w:rPr>
        <w:t>The signed and absolute results answer different economic questions. A lower signed deviation need not reduce distance from the reference; whether it would do so depends on the starting position and the unobserved joint distribution. The sample contains both negative and positive deviations, and the absolute-outcome interval does not establish closer price alignment. Consequently, neither the −14.51-basis-point contrast nor its ratio to a descriptive mean should be interpreted as a procurement saving or an efficiency gain. The 2022 deletion similarly delimits the historical magnitude without identifying that year's contribution or an underlying policy mechanism.</w:t>
      </w:r>
    </w:p>
    <w:p>
      <w:pPr>
        <w:pStyle w:val="BodyText"/>
        <w:keepNext w:val="0"/>
        <w:spacing w:line="269" w:lineRule="auto" w:before="0" w:after="120"/>
        <w:ind w:left="0" w:right="0" w:firstLine="0"/>
      </w:pPr>
      <w:r>
        <w:rPr>
          <w:rFonts w:ascii="Times New Roman" w:hAnsi="Times New Roman" w:cs="Times New Roman"/>
          <w:sz w:val="23"/>
        </w:rPr>
        <w:t>The official reference is also a measured comparator rather than an authenticated efficient price. A best bid is one-sided, and the four last-trade references need not have the same timing properties. Even an exact reduction in distance to such a reference would require further arguments before it could be called an efficiency improvement. Here the absolute-outcome evidence does not establish that reduction in the first place. The retained conclusion is therefore deliberately expressed in the reported signed scale rather than as a cost saving, a better purchase opportunity or an improvement in price discovery.</w:t>
      </w:r>
    </w:p>
    <w:p>
      <w:pPr>
        <w:pStyle w:val="BodyText"/>
        <w:keepNext w:val="0"/>
        <w:spacing w:line="269" w:lineRule="auto" w:before="0" w:after="120"/>
        <w:ind w:left="0" w:right="0" w:firstLine="0"/>
      </w:pPr>
      <w:r>
        <w:rPr>
          <w:rFonts w:ascii="Times New Roman" w:hAnsi="Times New Roman" w:cs="Times New Roman"/>
          <w:sz w:val="23"/>
        </w:rPr>
        <w:t>One reasonable implication for empirical use of these reports is to keep the quantity and price dimensions visible rather than compressing them into a single market-quality label. Researchers can ask whether their substantive question concerns aggregate demand, distributional variation, price position or price distance, and choose the corresponding measured outcome. Our results illustrate why that distinction matters in this archive. They do not evaluate an operational monitoring rule, its false-alarm rate or its out-of-sample benefit, so such uses remain motivations for further work rather than findings of the present study.</w:t>
      </w:r>
    </w:p>
    <w:p>
      <w:pPr>
        <w:pStyle w:val="Heading2"/>
        <w:ind w:left="0" w:right="0" w:firstLine="0"/>
      </w:pPr>
      <w:r>
        <w:rPr>
          <w:rFonts w:ascii="Times New Roman" w:hAnsi="Times New Roman" w:cs="Times New Roman"/>
          <w:sz w:val="23"/>
        </w:rPr>
        <w:t>7.3 Measurement, selection and inference limits</w:t>
      </w:r>
    </w:p>
    <w:p>
      <w:pPr>
        <w:pStyle w:val="BodyText"/>
        <w:keepNext w:val="0"/>
        <w:keepLines/>
        <w:widowControl/>
        <w:spacing w:line="269" w:lineRule="auto" w:before="0" w:after="120"/>
        <w:ind w:left="0" w:right="0" w:firstLine="0"/>
      </w:pPr>
      <w:r>
        <w:rPr>
          <w:rFonts w:ascii="Times New Roman" w:hAnsi="Times New Roman" w:cs="Times New Roman"/>
          <w:sz w:val="23"/>
        </w:rP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keepNext w:val="0"/>
        <w:widowControl/>
        <w:spacing w:line="269" w:lineRule="auto" w:before="0" w:after="120"/>
        <w:ind w:left="0" w:right="0" w:firstLine="0"/>
      </w:pPr>
      <w:r>
        <w:rPr>
          <w:rFonts w:ascii="Times New Roman" w:hAnsi="Times New Roman" w:cs="Times New Roman"/>
          <w:sz w:val="23"/>
        </w:rPr>
        <w:t>Selection and simultaneity limit both analyses. We condition on successful auctions and, for prices, on source-based eligibility. Participation, coverage, awards and clearing prices can share determinants. The price-level control is explicitly the same-auction clearing price, a component of the underlying comparison rather than an external pre-auction covariate. Its inclusion defines a conditional projection, not a total effect. Neither reduced-control quantity models nor source-subset price models eliminate endogenous selection, common shocks or omitted demand conditions.</w:t>
      </w:r>
    </w:p>
    <w:p>
      <w:pPr>
        <w:pStyle w:val="BodyText"/>
        <w:keepNext w:val="0"/>
        <w:spacing w:line="269" w:lineRule="auto" w:before="0" w:after="120"/>
        <w:ind w:left="0" w:right="0" w:firstLine="0"/>
      </w:pPr>
      <w:r>
        <w:rPr>
          <w:rFonts w:ascii="Times New Roman" w:hAnsi="Times New Roman" w:cs="Times New Roman"/>
          <w:sz w:val="23"/>
        </w:rPr>
        <w:t>For the price outcome, the targeted check of methods text in the 24 held reports did not establish an explicit subtraction-and-denominator equation. We preserve the official signed percentage field instead of inferring the convention from rounded entries. Native quote age, an independently authenticated Coordinated Universal Time (UTC) event clock and cross-report measurement invariance remain unverified. These are interpretation limits of an analysed official-report variable, not reasons to pretend the analysis used native transactions or to recode its observed sign.</w:t>
      </w:r>
    </w:p>
    <w:p>
      <w:pPr>
        <w:pStyle w:val="BodyText"/>
        <w:keepNext w:val="0"/>
        <w:widowControl/>
        <w:spacing w:line="269" w:lineRule="auto" w:before="0" w:after="120"/>
        <w:ind w:left="0" w:right="0" w:firstLine="0"/>
      </w:pPr>
      <w:r>
        <w:rPr>
          <w:rFonts w:ascii="Times New Roman" w:hAnsi="Times New Roman" w:cs="Times New Roman"/>
          <w:sz w:val="23"/>
        </w:rPr>
        <w:t>Inference remains conditional on the chosen dependence approximations and the research sequence. The quantity period contrasts and later composition contrasts are separate families; no correction covers the complete exploration history. In the price analysis, CR1 and jackknife intervals and the restricted wild-cluster test use the same observations, while the small number of quarters and possible cross-quarter dependence limit their calibration. Agreement across these procedures is not independent replication. Likewise, exact enumeration of the 2026 quantity resampling distribution removes Monte Carlo variation, not uncertainty about repeated-sample coverage.</w:t>
      </w:r>
    </w:p>
    <w:p>
      <w:pPr>
        <w:pStyle w:val="BodyText"/>
        <w:keepNext w:val="0"/>
        <w:spacing w:line="269" w:lineRule="auto" w:before="0" w:after="120"/>
        <w:ind w:left="0" w:right="0" w:firstLine="0"/>
      </w:pPr>
      <w:r>
        <w:rPr>
          <w:rFonts w:ascii="Times New Roman" w:hAnsi="Times New Roman" w:cs="Times New Roman"/>
          <w:sz w:val="23"/>
        </w:rPr>
        <w:t>The different sample layers further limit generalization. The German comparisons do not establish a price relationship for every EU or PL auction; the original archive describes successful auctions rather than all attempts; and the separate 2026 quantity segment is short and belongs to the same market. The no-row-flag and best-bid subsets probe particular source concerns but overlap heavily with the primary sample. Their agreement is useful for those concerns, not a substitute for independent data or a broad validation of the reporting system.</w:t>
      </w:r>
    </w:p>
    <w:p>
      <w:pPr>
        <w:pStyle w:val="BodyText"/>
        <w:keepNext w:val="0"/>
        <w:spacing w:line="269" w:lineRule="auto" w:before="0" w:after="120"/>
        <w:ind w:left="0" w:right="0" w:firstLine="0"/>
      </w:pPr>
      <w:r>
        <w:rPr>
          <w:rFonts w:ascii="Times New Roman" w:hAnsi="Times New Roman" w:cs="Times New Roman"/>
          <w:sz w:val="23"/>
        </w:rPr>
        <w:t>Finally, public reproducibility and data access are not identical to code availability. The released code, aggregate estimates, draw statistics and source identifiers permit substantial review, but a complete raw-input refit of the German comparison still requires the author-held event table or reconstruction from matching official editions. The exact 2026 quantity snapshot is not included in the public package. We state those limits and provide fixed source paths and a corresponding-author contact route below; no newly obtained redistribution permission or guaranteed access is implied.</w:t>
      </w:r>
    </w:p>
    <w:p>
      <w:pPr>
        <w:pStyle w:val="Heading1"/>
        <w:ind w:left="0" w:right="0" w:firstLine="0"/>
      </w:pPr>
      <w:r>
        <w:rPr>
          <w:rFonts w:ascii="Times New Roman" w:hAnsi="Times New Roman" w:cs="Times New Roman"/>
          <w:sz w:val="26"/>
        </w:rPr>
        <w:t>8 Conclusion</w:t>
      </w:r>
    </w:p>
    <w:p>
      <w:pPr>
        <w:pStyle w:val="BodyText"/>
        <w:keepNext w:val="0"/>
        <w:keepLines/>
        <w:widowControl/>
        <w:spacing w:line="269" w:lineRule="auto" w:before="0" w:after="120"/>
        <w:ind w:left="0" w:right="0" w:firstLine="0"/>
      </w:pPr>
      <w:r>
        <w:rPr>
          <w:rFonts w:ascii="Times New Roman" w:hAnsi="Times New Roman" w:cs="Times New Roman"/>
          <w:sz w:val="23"/>
        </w:rPr>
        <w:t>Across 1,281 successful EUA auctions during 2020–2025, reported bid and award dispersion have a residual correlation near 0.65. Their association is stronger in the later historical period despite lower marginal ratio levels. The period contrast survives selected-moment standardization, although auction-volume distributions remain unequal. The separate 2026 quantity sample is directionally consistent but provides only short-axis temporal diagnostics.</w:t>
      </w:r>
    </w:p>
    <w:p>
      <w:pPr>
        <w:pStyle w:val="BodyText"/>
        <w:keepNext w:val="0"/>
        <w:widowControl/>
        <w:spacing w:line="269" w:lineRule="auto" w:before="0" w:after="120"/>
        <w:ind w:left="0" w:right="0" w:firstLine="0"/>
      </w:pPr>
      <w:r>
        <w:rPr>
          <w:rFonts w:ascii="Times New Roman" w:hAnsi="Times New Roman" w:cs="Times New Roman"/>
          <w:sz w:val="23"/>
        </w:rPr>
        <w:t>In the matched 240-auction German subsample, reported bid dispersion is negatively associated with the official signed price deviation conditional on conventional auction indicators and the same-auction price level. The fitted interquartile contrast is −14.51 basis points. The absolute-deviation result and the influence of 2022 do not justify a blanket claim of greater price alignment or stable magnitude. Together, the findings identify distinct report-level quantity and price relationships, not a causal allocation mechanism, procurement saving or forecast improvement.</w:t>
      </w:r>
    </w:p>
    <w:p>
      <w:pPr>
        <w:pStyle w:val="BodyText"/>
        <w:keepNext w:val="0"/>
        <w:spacing w:line="269" w:lineRule="auto" w:before="0" w:after="120"/>
        <w:ind w:left="0" w:right="0" w:firstLine="0"/>
      </w:pPr>
      <w:r>
        <w:rPr>
          <w:rFonts w:ascii="Times New Roman" w:hAnsi="Times New Roman" w:cs="Times New Roman"/>
          <w:sz w:val="23"/>
        </w:rPr>
        <w:t>The practical boundary of the evidence is as important as the sign of either coefficient. Reported quantity dispersion contributes to a conditional description of auction outcomes, while the available data do not identify matched-bidder distributional change, a stable pricing mechanism or an executable signal. Subsequent work could investigate those stronger questions using independently documented participant populations and reference events. For the present archive, the supported contribution is the distinction between quantity levels, conditional co-variation and the signed position of an official price comparison, with its historical and inferential limits reported alongside the central estimates.</w:t>
      </w:r>
    </w:p>
    <w:p>
      <w:pPr>
        <w:pStyle w:val="Heading1"/>
        <w:ind w:left="0" w:right="0" w:firstLine="0"/>
      </w:pPr>
      <w:r>
        <w:rPr>
          <w:rFonts w:ascii="Times New Roman" w:hAnsi="Times New Roman" w:cs="Times New Roman"/>
          <w:sz w:val="26"/>
        </w:rPr>
        <w:t>Data and computer code availability</w:t>
      </w:r>
    </w:p>
    <w:p>
      <w:pPr>
        <w:pStyle w:val="BodyText"/>
        <w:keepNext w:val="0"/>
        <w:keepLines/>
        <w:spacing w:line="269" w:lineRule="auto" w:before="0" w:after="120"/>
        <w:ind w:left="0" w:right="0" w:firstLine="0"/>
      </w:pPr>
      <w:r>
        <w:rPr>
          <w:rFonts w:ascii="Times New Roman" w:hAnsi="Times New Roman" w:cs="Times New Roman"/>
          <w:sz w:val="23"/>
        </w:rPr>
        <w:t>The analysis code, aggregate results and source metadata are available in the public repository 124-creator/-123. Online Resource 1 and the accompanying DATA_ACCESS_AND_REPRODUCTION.md identify the fixed quantity-input, price-result and descriptive-context releases. The data release at commit 5745eb3ddca79602346053446583d794b0e09800 identifies the historical EEX workbooks; the German price analysis and descriptions are fixed at fccd471de96548bd781c59aced4a59435aae08ac and 33707c164c80accd7acf9fcd3f0965088a8370f6, respectively. Direct links are provided below.</w:t>
      </w:r>
    </w:p>
    <w:p>
      <w:pPr>
        <w:pStyle w:val="BodyText"/>
        <w:keepNext w:val="0"/>
        <w:spacing w:line="269" w:lineRule="auto" w:before="0" w:after="120"/>
        <w:ind w:left="0" w:right="0" w:firstLine="0"/>
      </w:pPr>
      <w:hyperlink r:id="rId12">
        <w:r>
          <w:rPr>
            <w:rFonts w:ascii="Times New Roman" w:hAnsi="Times New Roman"/>
            <w:u w:val="single"/>
          </w:rPr>
          <w:t>Public repository</w:t>
        </w:r>
      </w:hyperlink>
      <w:r>
        <w:rPr>
          <w:rFonts w:ascii="Times New Roman" w:hAnsi="Times New Roman" w:cs="Times New Roman"/>
          <w:sz w:val="23"/>
        </w:rPr>
        <w:t xml:space="preserve"> | </w:t>
      </w:r>
      <w:hyperlink r:id="rId13">
        <w:r>
          <w:rPr>
            <w:rFonts w:ascii="Times New Roman" w:hAnsi="Times New Roman"/>
            <w:u w:val="single"/>
          </w:rPr>
          <w:t>Fixed price results and code</w:t>
        </w:r>
      </w:hyperlink>
      <w:r>
        <w:rPr>
          <w:rFonts w:ascii="Times New Roman" w:hAnsi="Times New Roman" w:cs="Times New Roman"/>
          <w:sz w:val="23"/>
        </w:rPr>
        <w:t xml:space="preserve"> | </w:t>
      </w:r>
      <w:hyperlink r:id="rId14">
        <w:r>
          <w:rPr>
            <w:rFonts w:ascii="Times New Roman" w:hAnsi="Times New Roman"/>
            <w:u w:val="single"/>
          </w:rPr>
          <w:t>Fixed descriptive and source-definition records</w:t>
        </w:r>
      </w:hyperlink>
    </w:p>
    <w:p>
      <w:pPr>
        <w:pStyle w:val="BodyText"/>
        <w:keepNext w:val="0"/>
        <w:spacing w:line="269" w:lineRule="auto" w:before="0" w:after="120"/>
        <w:ind w:left="0" w:right="0" w:firstLine="0"/>
      </w:pPr>
      <w:r>
        <w:rPr>
          <w:rFonts w:ascii="Times New Roman" w:hAnsi="Times New Roman" w:cs="Times New Roman"/>
          <w:sz w:val="23"/>
        </w:rPr>
        <w:t>The authors hold the German official-report PDFs and matched event-level price tables, but those files are not included in the public aggregate package because bulk redistribution rights have not been established. Report-specific provider links and edition hashes are listed in the source catalogue and linked from Table S14. Researchers seeking the matched inputs should contact Zhongfei Tian at 15517837680@163.com; any transfer remains subject to applicable provider permissions and use conditions. This contact route is not a representation that unrestricted redistribution has been authorized. The exact 2026 quantity snapshot is likewise not publicly deposited: the dynamic EEX URL and its recorded hash alone do not make the matching bytes accessible. Public aggregate checks should not be described as an independent raw-data refit.</w:t>
      </w:r>
    </w:p>
    <w:p>
      <w:pPr>
        <w:pStyle w:val="Heading1"/>
        <w:ind w:left="0" w:right="0" w:firstLine="0"/>
      </w:pPr>
      <w:r>
        <w:rPr>
          <w:rFonts w:ascii="Times New Roman" w:hAnsi="Times New Roman" w:cs="Times New Roman"/>
          <w:sz w:val="26"/>
        </w:rPr>
        <w:t>Statements and Declarations</w:t>
      </w:r>
    </w:p>
    <w:p>
      <w:pPr>
        <w:pStyle w:val="BodyText"/>
        <w:keepNext w:val="0"/>
        <w:keepLines/>
        <w:spacing w:line="269" w:lineRule="auto" w:before="0" w:after="120"/>
        <w:ind w:left="0" w:right="0" w:firstLine="0"/>
      </w:pPr>
      <w:r>
        <w:rPr>
          <w:rFonts w:ascii="Times New Roman" w:hAnsi="Times New Roman" w:cs="Times New Roman"/>
          <w:sz w:val="23"/>
        </w:rPr>
        <w:t>Funding: The authors received no financial support for this research.</w:t>
      </w:r>
    </w:p>
    <w:p>
      <w:pPr>
        <w:pStyle w:val="BodyText"/>
        <w:keepNext w:val="0"/>
        <w:spacing w:line="269" w:lineRule="auto" w:before="0" w:after="120"/>
        <w:ind w:left="0" w:right="0" w:firstLine="0"/>
      </w:pPr>
      <w:r>
        <w:rPr>
          <w:rFonts w:ascii="Times New Roman" w:hAnsi="Times New Roman" w:cs="Times New Roman"/>
          <w:sz w:val="23"/>
        </w:rPr>
        <w:t>Competing interests: The authors declare that they have no financial interests relevant to the content of this article.</w:t>
      </w:r>
    </w:p>
    <w:p>
      <w:pPr>
        <w:pStyle w:val="BodyText"/>
        <w:keepNext w:val="0"/>
        <w:spacing w:line="269" w:lineRule="auto" w:before="0" w:after="120"/>
        <w:ind w:left="0" w:right="0" w:firstLine="0"/>
      </w:pPr>
      <w:r>
        <w:rPr>
          <w:rFonts w:ascii="Times New Roman" w:hAnsi="Times New Roman" w:cs="Times New Roman"/>
          <w:sz w:val="23"/>
        </w:rPr>
        <w:t>Author contributions: Zhongfei Tian prepared the manuscript and undertook its final revision. Xiang Wang was responsible for critical review, checking and approval of the final version. The authors’ roles are also reported on the separate title page.</w:t>
      </w:r>
    </w:p>
    <w:p>
      <w:pPr>
        <w:pStyle w:val="Heading1"/>
        <w:ind w:left="0" w:right="0" w:firstLine="0"/>
      </w:pPr>
      <w:r>
        <w:rPr>
          <w:rFonts w:ascii="Times New Roman" w:hAnsi="Times New Roman" w:cs="Times New Roman"/>
          <w:sz w:val="26"/>
        </w:rPr>
        <w:t>Supplementary information</w:t>
      </w:r>
    </w:p>
    <w:p>
      <w:pPr>
        <w:pStyle w:val="BodyText"/>
        <w:keepNext w:val="0"/>
        <w:keepLines/>
        <w:spacing w:line="269" w:lineRule="auto" w:before="0" w:after="120"/>
        <w:ind w:left="0" w:right="0" w:firstLine="0"/>
      </w:pPr>
      <w:r>
        <w:rPr>
          <w:rFonts w:ascii="Times New Roman" w:hAnsi="Times New Roman" w:cs="Times New Roman"/>
          <w:sz w:val="23"/>
        </w:rPr>
        <w:t>Online Resource 1 Field definitions, sample provenance, supplementary quantity and price results, uncertainty diagnostics, source locators and reproduction information</w:t>
      </w:r>
    </w:p>
    <w:p>
      <w:pPr>
        <w:pStyle w:val="Heading1"/>
        <w:ind w:left="0" w:right="0" w:firstLine="0"/>
      </w:pPr>
      <w:r>
        <w:rPr>
          <w:rFonts w:ascii="Times New Roman" w:hAnsi="Times New Roman" w:cs="Times New Roman"/>
          <w:sz w:val="26"/>
        </w:rPr>
        <w:t>References</w:t>
      </w:r>
    </w:p>
    <w:p>
      <w:pPr>
        <w:pStyle w:val="Reference"/>
        <w:keepLines/>
        <w:widowControl/>
        <w:spacing w:line="247" w:lineRule="auto" w:after="60"/>
        <w:ind w:left="227" w:right="0" w:hanging="227"/>
      </w:pPr>
      <w:r>
        <w:rPr>
          <w:rFonts w:ascii="Times New Roman" w:hAnsi="Times New Roman" w:cs="Times New Roman"/>
          <w:sz w:val="21"/>
        </w:rPr>
        <w:t xml:space="preserve">Ausubel LM, Cramton P, Pycia M, Rostek M, Weretka M (2014) Demand reduction and inefficiency in multi-unit auctions. The Review of Economic Studies 81:1366–1400. https://doi.org/10.1093/restud/rdu023</w:t>
      </w:r>
    </w:p>
    <w:p>
      <w:pPr>
        <w:pStyle w:val="Reference"/>
        <w:widowControl/>
        <w:spacing w:line="247" w:lineRule="auto" w:after="60"/>
        <w:ind w:left="227" w:right="0" w:hanging="227"/>
      </w:pPr>
      <w:r>
        <w:rPr>
          <w:rFonts w:ascii="Times New Roman" w:hAnsi="Times New Roman" w:cs="Times New Roman"/>
          <w:sz w:val="21"/>
        </w:rPr>
        <w:t xml:space="preserve">Bosco B (2023) Trade, equilibrium prices and rents in European auctions for emission allowances. Environmental Economics and Policy Studies 25:87–113. https://doi.org/10.1007/s10018-022-00344-y</w:t>
      </w:r>
    </w:p>
    <w:p>
      <w:pPr>
        <w:pStyle w:val="Reference"/>
        <w:widowControl/>
        <w:spacing w:line="247" w:lineRule="auto" w:after="60"/>
        <w:ind w:left="227" w:right="0" w:hanging="227"/>
      </w:pPr>
      <w:r>
        <w:rPr>
          <w:rFonts w:ascii="Times New Roman" w:hAnsi="Times New Roman" w:cs="Times New Roman"/>
          <w:sz w:val="21"/>
        </w:rPr>
        <w:t xml:space="preserve">Cook RD (1977) Detection of influential observation in linear regression. Technometrics 19:15–18. https://doi.org/10.1080/00401706.1977.10489493</w:t>
      </w:r>
    </w:p>
    <w:p>
      <w:pPr>
        <w:pStyle w:val="Reference"/>
        <w:widowControl/>
        <w:spacing w:line="247" w:lineRule="auto" w:after="60"/>
        <w:ind w:left="227" w:right="0" w:hanging="227"/>
      </w:pPr>
      <w:r>
        <w:rPr>
          <w:rFonts w:ascii="Times New Roman" w:hAnsi="Times New Roman" w:cs="Times New Roman"/>
          <w:sz w:val="21"/>
        </w:rPr>
        <w:t xml:space="preserve">Cramton P, Kerr S (2002) Tradeable carbon permit auctions: how and why to auction not grandfather. Energy Policy 30:333–345. https://doi.org/10.1016/S0301-4215(01)00100-8</w:t>
      </w:r>
    </w:p>
    <w:p>
      <w:pPr>
        <w:pStyle w:val="Reference"/>
        <w:widowControl/>
        <w:spacing w:line="247" w:lineRule="auto" w:after="60"/>
        <w:ind w:left="227" w:right="0" w:hanging="227"/>
      </w:pPr>
      <w:r>
        <w:rPr>
          <w:rFonts w:ascii="Times New Roman" w:hAnsi="Times New Roman" w:cs="Times New Roman"/>
          <w:sz w:val="21"/>
        </w:rPr>
        <w:t xml:space="preserve">EEX (n.d.) Frequently Asked Questions: Emissions Auctions. European Energy Exchange. https://www.eex.com/en/faq. Accessed 10 October 2026</w:t>
      </w:r>
    </w:p>
    <w:p>
      <w:pPr>
        <w:pStyle w:val="Reference"/>
        <w:widowControl/>
        <w:spacing w:line="247" w:lineRule="auto" w:after="60"/>
        <w:ind w:left="227" w:right="0" w:hanging="227"/>
      </w:pPr>
      <w:r>
        <w:rPr>
          <w:rFonts w:ascii="Times New Roman" w:hAnsi="Times New Roman" w:cs="Times New Roman"/>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Reference"/>
        <w:widowControl/>
        <w:spacing w:line="247" w:lineRule="auto" w:after="60"/>
        <w:ind w:left="227" w:right="0" w:hanging="227"/>
      </w:pPr>
      <w:r>
        <w:rPr>
          <w:rFonts w:ascii="Times New Roman" w:hAnsi="Times New Roman" w:cs="Times New Roman"/>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Reference"/>
        <w:widowControl/>
        <w:spacing w:line="247" w:lineRule="auto" w:after="60"/>
        <w:ind w:left="227" w:right="0" w:hanging="227"/>
      </w:pPr>
      <w:r>
        <w:rPr>
          <w:rFonts w:ascii="Times New Roman" w:hAnsi="Times New Roman" w:cs="Times New Roman"/>
          <w:sz w:val="21"/>
        </w:rP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Reference"/>
        <w:ind w:left="227" w:right="0" w:hanging="227"/>
      </w:pPr>
      <w:r>
        <w:rPr>
          <w:rFonts w:ascii="Times New Roman" w:hAnsi="Times New Roman" w:cs="Times New Roman"/>
          <w:sz w:val="21"/>
        </w:rPr>
        <w:t>Hackl F, Hölzl-Leitner M, Pennerstorfer D (2026) Measuring product differentiation by observing consumer search. Empirical Economics 70:78. https://doi.org/10.1007/s00181-026-02925-2</w:t>
      </w:r>
    </w:p>
    <w:p>
      <w:pPr>
        <w:pStyle w:val="Reference"/>
        <w:widowControl/>
        <w:spacing w:line="247" w:lineRule="auto" w:after="60"/>
        <w:ind w:left="227" w:right="0" w:hanging="227"/>
      </w:pPr>
      <w:r>
        <w:rPr>
          <w:rFonts w:ascii="Times New Roman" w:hAnsi="Times New Roman" w:cs="Times New Roman"/>
          <w:sz w:val="21"/>
        </w:rPr>
        <w:t xml:space="preserve">Kronmal RA (1993) Spurious correlation and the fallacy of the ratio standard revisited. Journal of the Royal Statistical Society: Series A 156:379–392. https://doi.org/10.2307/2983064</w:t>
      </w:r>
    </w:p>
    <w:p>
      <w:pPr>
        <w:pStyle w:val="Reference"/>
        <w:widowControl/>
        <w:spacing w:line="247" w:lineRule="auto" w:after="60"/>
        <w:ind w:left="227" w:right="0" w:hanging="227"/>
      </w:pPr>
      <w:r>
        <w:rPr>
          <w:rFonts w:ascii="Times New Roman" w:hAnsi="Times New Roman" w:cs="Times New Roman"/>
          <w:sz w:val="21"/>
        </w:rPr>
        <w:t xml:space="preserve">Lahiri SN (2003) Resampling methods for dependent data. Springer, New York. https://doi.org/10.1007/978-1-4757-3803-2</w:t>
      </w:r>
    </w:p>
    <w:p>
      <w:pPr>
        <w:pStyle w:val="Reference"/>
        <w:spacing w:line="247" w:lineRule="auto"/>
        <w:ind w:left="227" w:right="0" w:hanging="227"/>
      </w:pPr>
      <w:r>
        <w:rPr>
          <w:rFonts w:ascii="Times New Roman" w:hAnsi="Times New Roman" w:cs="Times New Roman"/>
          <w:sz w:val="21"/>
        </w:rPr>
        <w:t>Li F, Morgan KL, Zaslavsky AM (2018) Balancing covariates via propensity score weighting. Journal of the American Statistical Association 113:390–400. https://doi.org/10.1080/01621459.2016.1260466</w:t>
      </w:r>
    </w:p>
    <w:p>
      <w:pPr>
        <w:pStyle w:val="Reference"/>
        <w:widowControl/>
        <w:spacing w:line="247" w:lineRule="auto" w:after="60"/>
        <w:ind w:left="227" w:right="0" w:hanging="227"/>
      </w:pPr>
      <w:r>
        <w:rPr>
          <w:rFonts w:ascii="Times New Roman" w:hAnsi="Times New Roman" w:cs="Times New Roman"/>
          <w:sz w:val="21"/>
        </w:rPr>
        <w:t xml:space="preserve">Lovell MC (1963) Seasonal adjustment of economic time series and multiple regression analysis. Journal of the American Statistical Association 58:993–1010. https://doi.org/10.1080/01621459.1963.10480682</w:t>
      </w:r>
    </w:p>
    <w:p>
      <w:pPr>
        <w:pStyle w:val="Reference"/>
        <w:widowControl/>
        <w:spacing w:line="247" w:lineRule="auto" w:after="60"/>
        <w:ind w:left="227" w:right="0" w:hanging="227"/>
      </w:pPr>
      <w:r>
        <w:rPr>
          <w:rFonts w:ascii="Times New Roman" w:hAnsi="Times New Roman" w:cs="Times New Roman"/>
          <w:sz w:val="21"/>
        </w:rPr>
        <w:t>MacKinnon JG, Nielsen MØ, Webb MD (2023) Fast and reliable jackknife and bootstrap methods for cluster-robust inference. Journal of Applied Econometrics 38:671–694. https://doi.org/10.1002/jae.2969</w:t>
      </w:r>
    </w:p>
    <w:p>
      <w:pPr>
        <w:pStyle w:val="Reference"/>
        <w:widowControl/>
        <w:spacing w:line="247" w:lineRule="auto" w:after="60"/>
        <w:ind w:left="227" w:right="0" w:hanging="227"/>
      </w:pPr>
      <w:r>
        <w:rPr>
          <w:rFonts w:ascii="Times New Roman" w:hAnsi="Times New Roman" w:cs="Times New Roman"/>
          <w:sz w:val="21"/>
        </w:rPr>
        <w:t xml:space="preserve">Meijer E, Postepska A, Wansbeek T (2025) Handling multiple proxies. Empirical Economics 69:2901–2926. https://doi.org/10.1007/s00181-025-02825-x</w:t>
      </w:r>
    </w:p>
    <w:p>
      <w:pPr>
        <w:pStyle w:val="Reference"/>
        <w:widowControl/>
        <w:spacing w:line="247" w:lineRule="auto" w:after="60"/>
        <w:ind w:left="227" w:right="0" w:hanging="227"/>
      </w:pPr>
      <w:r>
        <w:rPr>
          <w:rFonts w:ascii="Times New Roman" w:hAnsi="Times New Roman" w:cs="Times New Roman"/>
          <w:sz w:val="21"/>
        </w:rPr>
        <w:t xml:space="preserve">Niu H, Liu T (2024) Forecasting the volatility of European Union allowance futures with macroeconomic variables using the GJR-GARCH-MIDAS model. Empirical Economics 67:75–96. https://doi.org/10.1007/s00181-023-02551-2</w:t>
      </w:r>
    </w:p>
    <w:p>
      <w:pPr>
        <w:pStyle w:val="Reference"/>
        <w:widowControl/>
        <w:spacing w:line="247" w:lineRule="auto" w:after="60"/>
        <w:ind w:left="227" w:right="0" w:hanging="227"/>
      </w:pPr>
      <w:r>
        <w:rPr>
          <w:rFonts w:ascii="Times New Roman" w:hAnsi="Times New Roman" w:cs="Times New Roman"/>
          <w:sz w:val="21"/>
        </w:rPr>
        <w:t>Otsubo Y (2026) Intraday and daily price discovery in carbon markets: EUA futures versus carbon ETFs. International Review of Finance 26:e70099. https://doi.org/10.1111/irfi.70099</w:t>
      </w:r>
    </w:p>
    <w:sectPr>
      <w:headerReference w:type="default" r:id="rId9"/>
      <w:footerReference w:type="default" r:id="rId10"/>
      <w:pgSz w:h="16838" w:w="11906"/>
      <w:pgMar w:bottom="1134" w:footer="567" w:header="45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cs="Times New Roman"/>
        <w:sz w:val="16"/>
      </w:rPr>
      <w:t>QUANTITY DISPERSION AND REPORTED PRICE DEVIATIONS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20" w:before="0" w:line="269" w:lineRule="auto"/>
      <w:ind w:firstLine="0"/>
    </w:pPr>
    <w:rPr>
      <w:rFonts w:ascii="Times New Roman" w:hAnsi="Times New Roman"/>
      <w:color w:val="000000"/>
      <w:sz w:val="23"/>
      <w:lang w:val="en-GB"/>
    </w:rPr>
  </w:style>
  <w:style w:styleId="BodyText" w:type="paragraph">
    <w:name w:val="Body Text"/>
    <w:basedOn w:val="Normal"/>
    <w:link w:val="BodyTextChar"/>
    <w:qFormat/>
    <w:pPr>
      <w:keepNext w:val="0"/>
      <w:widowControl/>
      <w:spacing w:after="120" w:before="0" w:line="269" w:lineRule="auto"/>
      <w:ind w:firstLine="0"/>
    </w:pPr>
    <w:rPr>
      <w:rFonts w:ascii="Times New Roman" w:hAnsi="Times New Roman"/>
      <w:color w:val="000000"/>
      <w:sz w:val="23"/>
    </w:rPr>
  </w:style>
  <w:style w:customStyle="1" w:styleId="FirstParagraph" w:type="paragraph">
    <w:name w:val="First Paragraph"/>
    <w:basedOn w:val="BodyText"/>
    <w:next w:val="BodyText"/>
    <w:qFormat/>
    <w:pPr>
      <w:keepNext w:val="0"/>
      <w:widowControl/>
      <w:spacing w:after="120" w:before="0" w:line="269" w:lineRule="auto"/>
      <w:ind w:firstLine="0"/>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100" w:before="0" w:line="245" w:lineRule="auto"/>
      <w:jc w:val="center"/>
    </w:pPr>
    <w:rPr>
      <w:rFonts w:ascii="Times New Roman" w:hAnsi="Times New Roman"/>
      <w:b w:val="0"/>
      <w:color w:val="000000"/>
      <w:sz w:val="24"/>
      <w:szCs w:val="30"/>
    </w:rPr>
  </w:style>
  <w:style w:customStyle="1" w:styleId="Author" w:type="paragraph">
    <w:name w:val="Author"/>
    <w:next w:val="BodyText"/>
    <w:qFormat/>
    <w:pPr>
      <w:keepNext/>
      <w:keepLines/>
      <w:spacing w:after="100" w:line="245" w:lineRule="auto"/>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spacing w:before="260" w:after="120" w:line="240" w:lineRule="auto"/>
    </w:pPr>
    <w:rPr>
      <w:rFonts w:ascii="Times New Roman" w:hAnsi="Times New Roman"/>
      <w:b/>
      <w:color w:val="000000"/>
      <w:sz w:val="26"/>
    </w:rPr>
  </w:style>
  <w:style w:type="paragraph" w:customStyle="1" w:styleId="Heading2">
    <w:name w:val="heading 2"/>
    <w:pPr>
      <w:keepNext/>
      <w:spacing w:before="260" w:after="120" w:line="240" w:lineRule="auto"/>
    </w:pPr>
    <w:rPr>
      <w:rFonts w:ascii="Times New Roman" w:hAnsi="Times New Roman"/>
      <w:b/>
      <w:color w:val="000000"/>
      <w:sz w:val="23"/>
    </w:rPr>
  </w:style>
  <w:style w:type="paragraph" w:customStyle="1" w:styleId="Heading3">
    <w:name w:val="heading 3"/>
    <w:pPr>
      <w:keepNext/>
      <w:spacing w:before="260" w:after="120" w:line="240" w:lineRule="auto"/>
    </w:pPr>
    <w:rPr>
      <w:rFonts w:ascii="Times New Roman" w:hAnsi="Times New Roman"/>
      <w:b/>
      <w:i/>
      <w:color w:val="000000"/>
      <w:sz w:val="23"/>
    </w:rPr>
  </w:style>
  <w:style w:type="paragraph" w:customStyle="1" w:styleId="Caption">
    <w:name w:val="caption"/>
    <w:pPr>
      <w:keepNext/>
      <w:spacing w:after="100" w:line="245" w:lineRule="auto"/>
    </w:pPr>
    <w:rPr>
      <w:rFonts w:ascii="Times New Roman" w:hAnsi="Times New Roman"/>
      <w:b w:val="0"/>
      <w:color w:val="000000"/>
      <w:sz w:val="21"/>
    </w:rPr>
  </w:style>
  <w:style w:type="paragraph" w:customStyle="1" w:styleId="TableNote">
    <w:name w:val="Table Note"/>
    <w:pPr>
      <w:spacing w:after="100" w:line="245" w:lineRule="auto"/>
    </w:pPr>
    <w:rPr>
      <w:rFonts w:ascii="Times New Roman" w:hAnsi="Times New Roman"/>
      <w:color w:val="000000"/>
      <w:sz w:val="19"/>
    </w:rPr>
  </w:style>
  <w:style w:type="paragraph" w:customStyle="1" w:styleId="Reference">
    <w:name w:val="Reference"/>
    <w:pPr>
      <w:spacing w:after="100" w:line="245" w:lineRule="auto"/>
      <w:ind w:left="227" w:hanging="227"/>
    </w:pPr>
    <w:rPr>
      <w:rFonts w:ascii="Times New Roman" w:hAnsi="Times New Roman"/>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124-creator/-123" TargetMode="External"/><Relationship Id="rId13" Type="http://schemas.openxmlformats.org/officeDocument/2006/relationships/hyperlink" Target="https://github.com/124-creator/-123/tree/fccd471de96548bd781c59aced4a59435aae08ac/research/eua_local_price_execution_20261011" TargetMode="External"/><Relationship Id="rId14" Type="http://schemas.openxmlformats.org/officeDocument/2006/relationships/hyperlink" Target="https://github.com/124-creator/-123/tree/33707c164c80accd7acf9fcd3f0965088a8370f6/research/eua_price_description_followup_2026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reported price deviations</cp:keywords>
  <dcterms:created xsi:type="dcterms:W3CDTF">2026-10-10T00:00:00Z</dcterms:created>
  <dcterms:modified xsi:type="dcterms:W3CDTF">2026-10-11T12:00:00Z</dcterms:modified>
  <cp:lastModifiedBy>Zhongfei Tian</cp:lastModifiedBy>
  <dc:subject>Integrated author-review v9; completed price evidence, no new fits</dc:subject>
  <dc:description/>
</cp:coreProperties>
</file>

<file path=docProps/custom.xml><?xml version="1.0" encoding="utf-8"?>
<Properties xmlns="http://schemas.openxmlformats.org/officeDocument/2006/custom-properties" xmlns:vt="http://schemas.openxmlformats.org/officeDocument/2006/docPropsVTypes"/>
</file>