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ageBreakBefore w:val="0"/>
        <w:widowControl/>
        <w:ind w:left="0" w:right="0" w:firstLine="0"/>
      </w:pPr>
      <w:r>
        <w:rPr>
          <w:rFonts w:ascii="Times New Roman" w:hAnsi="Times New Roman" w:cs="Times New Roman"/>
          <w:sz w:val="34"/>
        </w:rPr>
        <w:t>Online Resource 1</w:t>
      </w:r>
    </w:p>
    <w:p>
      <w:pPr>
        <w:pStyle w:val="Subtitle"/>
        <w:pageBreakBefore w:val="0"/>
        <w:widowControl/>
        <w:ind w:left="0" w:right="0" w:firstLine="0"/>
      </w:pPr>
      <w:r>
        <w:rPr>
          <w:rFonts w:ascii="Times New Roman" w:hAnsi="Times New Roman" w:cs="Times New Roman"/>
          <w:sz w:val="24"/>
        </w:rPr>
        <w:t>Quantity dispersion and reported price deviations in European carbon auctions</w:t>
      </w:r>
    </w:p>
    <w:p>
      <w:pPr>
        <w:pStyle w:val="BodyText"/>
        <w:keepNext w:val="0"/>
        <w:pageBreakBefore w:val="0"/>
        <w:widowControl/>
        <w:spacing w:after="120" w:line="269" w:lineRule="auto" w:before="0"/>
        <w:ind w:left="0" w:right="0" w:firstLine="0"/>
        <w:jc w:val="center"/>
      </w:pPr>
      <w:r>
        <w:rPr>
          <w:rFonts w:ascii="Times New Roman" w:hAnsi="Times New Roman" w:cs="Times New Roman"/>
          <w:sz w:val="23"/>
        </w:rPr>
        <w:t>Conditional associations and historical scope</w:t>
      </w:r>
    </w:p>
    <w:p>
      <w:pPr>
        <w:pStyle w:val="BodyText"/>
        <w:keepNext w:val="0"/>
        <w:pageBreakBefore w:val="0"/>
        <w:widowControl/>
        <w:spacing w:line="269" w:lineRule="auto" w:before="0" w:after="120"/>
        <w:ind w:left="0" w:right="0" w:firstLine="0"/>
      </w:pPr>
      <w:r>
        <w:rPr>
          <w:rFonts w:ascii="Times New Roman" w:hAnsi="Times New Roman" w:cs="Times New Roman"/>
          <w:sz w:val="23"/>
        </w:rPr>
        <w:t>Journal: Empirical Economics</w:t>
        <w:br/>
        <w:t>Authors: Zhongfei Tian; Xiang Wang</w:t>
        <w:br/>
        <w:t>Affiliation: Zhengzhou University of Aeronautics, Zhengzhou, Henan, China</w:t>
        <w:br/>
        <w:t>Corresponding author: Zhongfei Tian, 15517837680@163.com</w:t>
        <w:br/>
        <w:t>Version: Final editorial revision, 11 October 2026</w:t>
      </w:r>
    </w:p>
    <w:p>
      <w:pPr>
        <w:pStyle w:val="Heading2"/>
        <w:pageBreakBefore w:val="0"/>
        <w:widowControl/>
        <w:ind w:left="0" w:right="0" w:firstLine="0"/>
      </w:pPr>
      <w:r>
        <w:rPr>
          <w:rFonts w:ascii="Times New Roman" w:hAnsi="Times New Roman" w:cs="Times New Roman"/>
          <w:sz w:val="23"/>
        </w:rPr>
        <w:t xml:space="preserve">S1 Purpose and fixed numerical record</w:t>
      </w:r>
    </w:p>
    <w:p>
      <w:pPr>
        <w:pStyle w:val="BodyText"/>
        <w:keepNext w:val="0"/>
        <w:keepLines/>
        <w:pageBreakBefore w:val="0"/>
        <w:widowControl/>
        <w:spacing w:line="269" w:lineRule="auto" w:before="0" w:after="120"/>
        <w:ind w:left="0" w:right="0" w:firstLine="0"/>
      </w:pPr>
      <w:r>
        <w:rPr>
          <w:rFonts w:ascii="Times New Roman" w:hAnsi="Times New Roman" w:cs="Times New Roman"/>
          <w:sz w:val="23"/>
        </w:rPr>
        <w:t>This resource keeps the historical quantity evidence and later price extension distinct. Sections S1–S11 preserve the completed quantity analyses. Sections S12–S17 document the German report-level price data, its signed convention, descriptive context, four fixed models and diagnostic limits. Every numerical stage has a separate fixed source; the present integration does not re-estimate the market models.</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The repository is</w:t>
      </w:r>
      <w:r>
        <w:rPr>
          <w:rFonts w:ascii="Times New Roman" w:hAnsi="Times New Roman" w:cs="Times New Roman"/>
          <w:sz w:val="23"/>
        </w:rPr>
        <w:t xml:space="preserve"> </w:t>
      </w:r>
      <w:r>
        <w:rPr>
          <w:rStyle w:val="VerbatimChar"/>
          <w:rFonts w:ascii="Times New Roman" w:hAnsi="Times New Roman" w:cs="Times New Roman"/>
          <w:sz w:val="23"/>
        </w:rPr>
        <w:t xml:space="preserve">124-creator/-123</w:t>
      </w:r>
      <w:r>
        <w:rPr>
          <w:rFonts w:ascii="Times New Roman" w:hAnsi="Times New Roman" w:cs="Times New Roman"/>
          <w:sz w:val="23"/>
        </w:rPr>
        <w:t xml:space="preserve">. The input is fixed at commit</w:t>
      </w:r>
      <w:r>
        <w:rPr>
          <w:rFonts w:ascii="Times New Roman" w:hAnsi="Times New Roman" w:cs="Times New Roman"/>
          <w:sz w:val="23"/>
        </w:rPr>
        <w:t xml:space="preserve"> </w:t>
      </w:r>
      <w:r>
        <w:rPr>
          <w:rStyle w:val="VerbatimChar"/>
          <w:rFonts w:ascii="Times New Roman" w:hAnsi="Times New Roman" w:cs="Times New Roman"/>
          <w:sz w:val="23"/>
        </w:rPr>
        <w:t xml:space="preserve">5745eb3ddca79602346053446583d794b0e09800</w:t>
      </w:r>
      <w:r>
        <w:rPr>
          <w:rFonts w:ascii="Times New Roman" w:hAnsi="Times New Roman" w:cs="Times New Roman"/>
          <w:sz w:val="23"/>
        </w:rPr>
        <w:t xml:space="preserve">. The principal results are fixed at</w:t>
      </w:r>
      <w:r>
        <w:rPr>
          <w:rFonts w:ascii="Times New Roman" w:hAnsi="Times New Roman" w:cs="Times New Roman"/>
          <w:sz w:val="23"/>
        </w:rPr>
        <w:t xml:space="preserve"> </w:t>
      </w:r>
      <w:r>
        <w:rPr>
          <w:rStyle w:val="VerbatimChar"/>
          <w:rFonts w:ascii="Times New Roman" w:hAnsi="Times New Roman" w:cs="Times New Roman"/>
          <w:sz w:val="23"/>
        </w:rPr>
        <w:t xml:space="preserve">e25c1e02e1a58e0aec1084f7419066855e9565ec</w:t>
      </w:r>
      <w:r>
        <w:rPr>
          <w:rFonts w:ascii="Times New Roman" w:hAnsi="Times New Roman" w:cs="Times New Roman"/>
          <w:sz w:val="23"/>
        </w:rPr>
        <w:t xml:space="preserve">, and the robustness extension at</w:t>
      </w:r>
      <w:r>
        <w:rPr>
          <w:rFonts w:ascii="Times New Roman" w:hAnsi="Times New Roman" w:cs="Times New Roman"/>
          <w:sz w:val="23"/>
        </w:rPr>
        <w:t xml:space="preserve"> </w:t>
      </w:r>
      <w:r>
        <w:rPr>
          <w:rStyle w:val="VerbatimChar"/>
          <w:rFonts w:ascii="Times New Roman" w:hAnsi="Times New Roman" w:cs="Times New Roman"/>
          <w:sz w:val="23"/>
        </w:rPr>
        <w:t xml:space="preserve">d4b26f1bbd8c1d7c036259e48e119c9c12f6c9a9</w:t>
      </w:r>
      <w:r>
        <w:rPr>
          <w:rFonts w:ascii="Times New Roman" w:hAnsi="Times New Roman" w:cs="Times New Roman"/>
          <w:sz w:val="23"/>
        </w:rPr>
        <w:t xml:space="preserve">. The respective paths are:</w:t>
      </w:r>
    </w:p>
    <w:p>
      <w:pPr>
        <w:pStyle w:val="BodyText"/>
        <w:keepNext w:val="0"/>
        <w:pageBreakBefore w:val="0"/>
        <w:widowControl/>
        <w:numPr>
          <w:ilvl w:val="0"/>
          <w:numId w:val="1001"/>
        </w:numPr>
        <w:spacing w:line="269" w:lineRule="auto" w:before="0" w:after="120"/>
        <w:ind w:left="0" w:right="0" w:firstLine="0"/>
      </w:pPr>
      <w:r>
        <w:rPr>
          <w:rStyle w:val="VerbatimChar"/>
          <w:rFonts w:ascii="Times New Roman" w:hAnsi="Times New Roman" w:cs="Times New Roman"/>
          <w:sz w:val="23"/>
        </w:rPr>
        <w:t xml:space="preserve">research/pro_review_20261010/full_data/</w:t>
      </w:r>
    </w:p>
    <w:p>
      <w:pPr>
        <w:pStyle w:val="BodyText"/>
        <w:keepNext w:val="0"/>
        <w:pageBreakBefore w:val="0"/>
        <w:widowControl/>
        <w:numPr>
          <w:ilvl w:val="0"/>
          <w:numId w:val="1001"/>
        </w:numPr>
        <w:spacing w:line="269" w:lineRule="auto" w:before="0" w:after="120"/>
        <w:ind w:left="0" w:right="0" w:firstLine="0"/>
      </w:pPr>
      <w:r>
        <w:rPr>
          <w:rStyle w:val="VerbatimChar"/>
          <w:rFonts w:ascii="Times New Roman" w:hAnsi="Times New Roman" w:cs="Times New Roman"/>
          <w:sz w:val="23"/>
        </w:rPr>
        <w:t xml:space="preserve">research/eex_abc_results_20261010/</w:t>
      </w:r>
    </w:p>
    <w:p>
      <w:pPr>
        <w:pStyle w:val="BodyText"/>
        <w:keepNext w:val="0"/>
        <w:pageBreakBefore w:val="0"/>
        <w:widowControl/>
        <w:numPr>
          <w:ilvl w:val="0"/>
          <w:numId w:val="1001"/>
        </w:numPr>
        <w:spacing w:line="269" w:lineRule="auto" w:before="0" w:after="120"/>
        <w:ind w:left="0" w:right="0" w:firstLine="0"/>
      </w:pPr>
      <w:r>
        <w:rPr>
          <w:rStyle w:val="VerbatimChar"/>
          <w:rFonts w:ascii="Times New Roman" w:hAnsi="Times New Roman" w:cs="Times New Roman"/>
          <w:sz w:val="23"/>
        </w:rPr>
        <w:t xml:space="preserve">research/eex_robustness_20261010/</w:t>
      </w:r>
    </w:p>
    <w:p>
      <w:pPr>
        <w:pStyle w:val="BodyText"/>
        <w:keepNext w:val="0"/>
        <w:pageBreakBefore w:val="0"/>
        <w:widowControl/>
        <w:spacing w:line="269" w:lineRule="auto" w:before="0" w:after="120"/>
        <w:ind w:left="0" w:right="0" w:firstLine="0"/>
      </w:pPr>
      <w:r>
        <w:rPr>
          <w:rFonts w:ascii="Times New Roman" w:hAnsi="Times New Roman" w:cs="Times New Roman"/>
          <w:sz w:val="23"/>
        </w:rPr>
        <w:t>The input release records workbook identities, full extraction, sample restrictions and cell traces. Analysis releases contain code, protocols, aggregate results and computation receipts. Reproduction starts from the fixed input and eligibility rules, not from filtering to a desired sample count. Provider rights remain applicable; fixed links and the conditions for requesting author-held material are set out in DATA_ACCESS_AND_REPRODUCTION.md and Section S17.</w:t>
      </w:r>
    </w:p>
    <w:p>
      <w:pPr>
        <w:pStyle w:val="Heading2"/>
        <w:pageBreakBefore w:val="0"/>
        <w:widowControl/>
        <w:ind w:left="0" w:right="0" w:firstLine="0"/>
      </w:pPr>
      <w:r>
        <w:rPr>
          <w:rFonts w:ascii="Times New Roman" w:hAnsi="Times New Roman" w:cs="Times New Roman"/>
          <w:sz w:val="23"/>
        </w:rPr>
        <w:t xml:space="preserve">S2 Fields, observations and eligibility</w:t>
      </w:r>
    </w:p>
    <w:p>
      <w:pPr>
        <w:pStyle w:val="Caption"/>
        <w:keepNext/>
        <w:keepLines/>
        <w:pageBreakBefore w:val="0"/>
        <w:widowControl/>
        <w:spacing w:after="80"/>
        <w:ind w:left="0" w:right="0" w:firstLine="0"/>
      </w:pPr>
      <w:r>
        <w:rPr>
          <w:rFonts w:ascii="Times New Roman" w:hAnsi="Times New Roman" w:cs="Times New Roman"/>
          <w:b/>
          <w:bCs/>
          <w:sz w:val="21"/>
        </w:rPr>
        <w:t xml:space="preserve">Table S1 Reported fields and research interpretation</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1082"/>
        <w:gridCol w:w="4211"/>
        <w:gridCol w:w="4572"/>
      </w:tblGrid>
      <w:tr>
        <w:trPr>
          <w:tblHeader w:val="on"/>
          <w:cantSplit/>
          <w:tblHeader/>
        </w:trPr>
        <w:tc>
          <w:tcPr>
            <w:tcW w:type="dxa" w:w="1082"/>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Symbol</w:t>
            </w:r>
          </w:p>
        </w:tc>
        <w:tc>
          <w:tcPr>
            <w:tcW w:type="dxa" w:w="4211"/>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Original field label</w:t>
            </w:r>
          </w:p>
        </w:tc>
        <w:tc>
          <w:tcPr>
            <w:tcW w:type="dxa" w:w="4572"/>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Interpretation retained here</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m:oMath>
              <m:sSup>
                <m:e>
                  <m:r>
                    <m:t>μ</m:t>
                  </m:r>
                </m:e>
                <m:sup>
                  <m:r>
                    <m:t>b</m:t>
                  </m:r>
                </m:sup>
              </m:sSup>
            </m:oMath>
          </w:p>
        </w:tc>
        <w:tc>
          <w:tcPr>
            <w:tcW w:type="dxa" w:w="421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Average volume bid per bidder</w:t>
            </w:r>
          </w:p>
        </w:tc>
        <w:tc>
          <w:tcPr>
            <w:tcW w:type="dxa" w:w="457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Reported bid mean</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m:oMath>
              <m:sSup>
                <m:e>
                  <m:r>
                    <m:t>s</m:t>
                  </m:r>
                </m:e>
                <m:sup>
                  <m:r>
                    <m:t>b</m:t>
                  </m:r>
                </m:sup>
              </m:sSup>
            </m:oMath>
          </w:p>
        </w:tc>
        <w:tc>
          <w:tcPr>
            <w:tcW w:type="dxa" w:w="421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Standard deviation of bid volume per bidder</w:t>
            </w:r>
          </w:p>
        </w:tc>
        <w:tc>
          <w:tcPr>
            <w:tcW w:type="dxa" w:w="457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Reported bid SD; population and divisor unresolved</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m:oMath>
              <m:sSup>
                <m:e>
                  <m:r>
                    <m:t>μ</m:t>
                  </m:r>
                </m:e>
                <m:sup>
                  <m:r>
                    <m:t>w</m:t>
                  </m:r>
                </m:sup>
              </m:sSup>
            </m:oMath>
          </w:p>
        </w:tc>
        <w:tc>
          <w:tcPr>
            <w:tcW w:type="dxa" w:w="421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Average volume won per bidder</w:t>
            </w:r>
          </w:p>
        </w:tc>
        <w:tc>
          <w:tcPr>
            <w:tcW w:type="dxa" w:w="457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Reported award mean</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m:oMath>
              <m:sSup>
                <m:e>
                  <m:r>
                    <m:t>s</m:t>
                  </m:r>
                </m:e>
                <m:sup>
                  <m:r>
                    <m:t>w</m:t>
                  </m:r>
                </m:sup>
              </m:sSup>
            </m:oMath>
          </w:p>
        </w:tc>
        <w:tc>
          <w:tcPr>
            <w:tcW w:type="dxa" w:w="421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Standard deviation of volume won per bidder</w:t>
            </w:r>
          </w:p>
        </w:tc>
        <w:tc>
          <w:tcPr>
            <w:tcW w:type="dxa" w:w="457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Reported award SD; population and divisor unresolved</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m:oMath>
              <m:r>
                <m:t>V</m:t>
              </m:r>
            </m:oMath>
          </w:p>
        </w:tc>
        <w:tc>
          <w:tcPr>
            <w:tcW w:type="dxa" w:w="421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Auction Volume tCO2</w:t>
            </w:r>
          </w:p>
        </w:tc>
        <w:tc>
          <w:tcPr>
            <w:tcW w:type="dxa" w:w="457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Reported quantity, not a separately observed settlement total</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m:oMath>
              <m:r>
                <m:t>B</m:t>
              </m:r>
            </m:oMath>
          </w:p>
        </w:tc>
        <w:tc>
          <w:tcPr>
            <w:tcW w:type="dxa" w:w="421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Total Amount of Bids</w:t>
            </w:r>
          </w:p>
        </w:tc>
        <w:tc>
          <w:tcPr>
            <w:tcW w:type="dxa" w:w="457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Total reported bid volume</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m:oMath>
              <m:r>
                <m:t>R</m:t>
              </m:r>
            </m:oMath>
          </w:p>
        </w:tc>
        <w:tc>
          <w:tcPr>
            <w:tcW w:type="dxa" w:w="421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Cover Ratio</w:t>
            </w:r>
          </w:p>
        </w:tc>
        <w:tc>
          <w:tcPr>
            <w:tcW w:type="dxa" w:w="457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Reported demand coverage</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m:oMath>
              <m:r>
                <m:t>N</m:t>
              </m:r>
            </m:oMath>
          </w:p>
        </w:tc>
        <w:tc>
          <w:tcPr>
            <w:tcW w:type="dxa" w:w="421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Total Number of Bidders</w:t>
            </w:r>
          </w:p>
        </w:tc>
        <w:tc>
          <w:tcPr>
            <w:tcW w:type="dxa" w:w="457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Participants, not number of submitted orders</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m:oMath>
              <m:r>
                <m:t>S</m:t>
              </m:r>
            </m:oMath>
          </w:p>
        </w:tc>
        <w:tc>
          <w:tcPr>
            <w:tcW w:type="dxa" w:w="421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Number of Successful Bidders</w:t>
            </w:r>
          </w:p>
        </w:tc>
        <w:tc>
          <w:tcPr>
            <w:tcW w:type="dxa" w:w="457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Successful participants, not number of successful orders</w:t>
            </w:r>
          </w:p>
        </w:tc>
      </w:tr>
    </w:tbl>
    <w:p>
      <w:pPr>
        <w:pStyle w:val="TableNote"/>
        <w:keepNext w:val="0"/>
        <w:keepLines/>
        <w:pageBreakBefore w:val="0"/>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Quantity fields use tCO2 in the source. Literal labels are reproduced from row 6 of Primary Market Auction in each annual workbook. In particular, column M is</w:t>
      </w:r>
      <w:r>
        <w:rPr>
          <w:rFonts w:ascii="Times New Roman" w:hAnsi="Times New Roman" w:cs="Times New Roman"/>
          <w:sz w:val="19"/>
        </w:rPr>
        <w:t xml:space="preserve"> </w:t>
      </w:r>
      <w:r>
        <w:rPr>
          <w:rFonts w:ascii="Times New Roman" w:hAnsi="Times New Roman" w:cs="Times New Roman"/>
          <w:sz w:val="19"/>
        </w:rPr>
        <w:t xml:space="preserve">“</w:t>
      </w:r>
      <w:r>
        <w:rPr>
          <w:rFonts w:ascii="Times New Roman" w:hAnsi="Times New Roman" w:cs="Times New Roman"/>
          <w:sz w:val="19"/>
        </w:rPr>
        <w:t xml:space="preserve">Total Amount of Bids</w:t>
      </w:r>
      <w:r>
        <w:rPr>
          <w:rFonts w:ascii="Times New Roman" w:hAnsi="Times New Roman" w:cs="Times New Roman"/>
          <w:sz w:val="19"/>
        </w:rPr>
        <w:t xml:space="preserve">”</w:t>
      </w:r>
      <w:r>
        <w:rPr>
          <w:rFonts w:ascii="Times New Roman" w:hAnsi="Times New Roman" w:cs="Times New Roman"/>
          <w:sz w:val="19"/>
        </w:rPr>
        <w:t xml:space="preserve"> </w:t>
      </w:r>
      <w:r>
        <w:rPr>
          <w:rFonts w:ascii="Times New Roman" w:hAnsi="Times New Roman" w:cs="Times New Roman"/>
          <w:sz w:val="19"/>
        </w:rPr>
        <w:t xml:space="preserve">within the volume section; auction revenue is a different field. Original labels, cell positions and formats are retained in the provenance record. A reporting participant need not equal a final client or compliance installation. Field labels and arithmetic consistency do not establish identical populations for each paired mean and standard deviation.</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The six annual files yield 1,327 dated observations. Restricting to T3PA, EU/DE/PL and explicit successful status yields 1,281 unique auctions. Exclusions comprise 38 other-product records, five other-series records and three cancelled auctions. Cancelled award fields remain missing rather than becoming zero dispersion. No main-sample row is removed on the basis of the size of its reported ratio.</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The source audit compared 13 numeric fields for all dated observations with the extraction and the cell trace, with 17,251 comparisons in each route. An independent XML route agreed with the workbook import. The 53 candidate fields match their corresponding extraction rows; input files were unchanged after computation. These checks certify the relationship between the supplied files and the calculations, not unobserved bidder identities, every market event or historical first-release values.</w:t>
      </w:r>
    </w:p>
    <w:p>
      <w:pPr>
        <w:pStyle w:val="Heading2"/>
        <w:pageBreakBefore w:val="0"/>
        <w:widowControl/>
        <w:ind w:left="0" w:right="0" w:firstLine="0"/>
      </w:pPr>
      <w:r>
        <w:rPr>
          <w:rFonts w:ascii="Times New Roman" w:hAnsi="Times New Roman" w:cs="Times New Roman"/>
          <w:sz w:val="23"/>
        </w:rPr>
        <w:t xml:space="preserve">S3 Projection and resampling implementation</w:t>
      </w:r>
    </w:p>
    <w:p>
      <w:pPr>
        <w:pStyle w:val="BodyText"/>
        <w:keepNext w:val="0"/>
        <w:keepLines/>
        <w:pageBreakBefore w:val="0"/>
        <w:widowControl/>
        <w:spacing w:line="269" w:lineRule="auto" w:before="0" w:after="120"/>
        <w:ind w:left="0" w:right="0" w:firstLine="0"/>
      </w:pPr>
      <w:r>
        <w:rPr>
          <w:rFonts w:ascii="Times New Roman" w:hAnsi="Times New Roman" w:cs="Times New Roman"/>
          <w:sz w:val="23"/>
        </w:rPr>
        <w:t xml:space="preserve">The main nuisance space contains log cover ratio, log auction volume, log total bidders, log successful bidders, reporting-series indicators and original year–month indicators. Each auction has equal weight. Numerically stable least-squares projection gives a rank-79 pooled design with 1,202 residual degrees of freedom. The within-month implementation was cross-checked using an explicit dummy design and explicit row replication on fixed draws. Such agreement verifies a numerical route, not a second empirical sample.</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For pooled block length</w:t>
      </w:r>
      <w:r>
        <w:rPr>
          <w:rFonts w:ascii="Times New Roman" w:hAnsi="Times New Roman" w:cs="Times New Roman"/>
          <w:sz w:val="23"/>
        </w:rPr>
        <w:t xml:space="preserve"> </w:t>
      </w:r>
      <m:oMath>
        <m:r>
          <m:t>L</m:t>
        </m:r>
      </m:oMath>
      <w:r>
        <w:rPr>
          <w:rFonts w:ascii="Times New Roman" w:hAnsi="Times New Roman" w:cs="Times New Roman"/>
          <w:sz w:val="23"/>
        </w:rPr>
        <w:t xml:space="preserve">, draw starting months uniformly from</w:t>
      </w:r>
      <w:r>
        <w:rPr>
          <w:rFonts w:ascii="Times New Roman" w:hAnsi="Times New Roman" w:cs="Times New Roman"/>
          <w:sz w:val="23"/>
        </w:rPr>
        <w:t xml:space="preserve"> </w:t>
      </w:r>
      <m:oMath>
        <m:r>
          <m:t>0</m:t>
        </m:r>
        <m:r>
          <m:rPr>
            <m:sty m:val="p"/>
          </m:rPr>
          <m:t>,</m:t>
        </m:r>
        <m:r>
          <m:rPr>
            <m:sty m:val="p"/>
          </m:rPr>
          <m:t>…</m:t>
        </m:r>
        <m:r>
          <m:rPr>
            <m:sty m:val="p"/>
          </m:rPr>
          <m:t>,</m:t>
        </m:r>
        <m:r>
          <m:rPr>
            <m:sty m:val="b"/>
          </m:rPr>
          <m:t>M</m:t>
        </m:r>
        <m:r>
          <m:rPr>
            <m:sty m:val="p"/>
          </m:rPr>
          <m:t>−</m:t>
        </m:r>
        <m:r>
          <m:t>L</m:t>
        </m:r>
      </m:oMath>
      <w:r>
        <w:rPr>
          <w:rFonts w:ascii="Times New Roman" w:hAnsi="Times New Roman" w:cs="Times New Roman"/>
          <w:sz w:val="23"/>
        </w:rPr>
        <w:t xml:space="preserve"> </w:t>
      </w:r>
      <w:r>
        <w:rPr>
          <w:rFonts w:ascii="Times New Roman" w:hAnsi="Times New Roman" w:cs="Times New Roman"/>
          <w:sz w:val="23"/>
        </w:rPr>
        <w:t xml:space="preserve">with</w:t>
      </w:r>
      <w:r>
        <w:rPr>
          <w:rFonts w:ascii="Times New Roman" w:hAnsi="Times New Roman" w:cs="Times New Roman"/>
          <w:sz w:val="23"/>
        </w:rPr>
        <w:t xml:space="preserve"> </w:t>
      </w:r>
      <m:oMath>
        <m:r>
          <m:rPr>
            <m:sty m:val="b"/>
          </m:rPr>
          <m:t>M</m:t>
        </m:r>
        <m:r>
          <m:rPr>
            <m:sty m:val="p"/>
          </m:rPr>
          <m:t>=</m:t>
        </m:r>
        <m:r>
          <m:t>72</m:t>
        </m:r>
      </m:oMath>
      <w:r>
        <w:rPr>
          <w:rFonts w:ascii="Times New Roman" w:hAnsi="Times New Roman" w:cs="Times New Roman"/>
          <w:sz w:val="23"/>
        </w:rPr>
        <w:t xml:space="preserve">. Append each selected contiguous block of</w:t>
      </w:r>
      <w:r>
        <w:rPr>
          <w:rFonts w:ascii="Times New Roman" w:hAnsi="Times New Roman" w:cs="Times New Roman"/>
          <w:sz w:val="23"/>
        </w:rPr>
        <w:t xml:space="preserve"> </w:t>
      </w:r>
      <m:oMath>
        <m:r>
          <m:t>L</m:t>
        </m:r>
      </m:oMath>
      <w:r>
        <w:rPr>
          <w:rFonts w:ascii="Times New Roman" w:hAnsi="Times New Roman" w:cs="Times New Roman"/>
          <w:sz w:val="23"/>
        </w:rPr>
        <w:t xml:space="preserve"> </w:t>
      </w:r>
      <w:r>
        <w:rPr>
          <w:rFonts w:ascii="Times New Roman" w:hAnsi="Times New Roman" w:cs="Times New Roman"/>
          <w:sz w:val="23"/>
        </w:rPr>
        <w:t xml:space="preserve">calendar months until at least 72 positions are obtained, then truncate. Retain all auction-series observations in each selected month. Multiplicities act as observation weights; original year–month labels are not renamed. Empty factor levels in a draw are removed rather than represented by all-zero dummy columns. Nuisance coefficients and the focal coefficient are re-estimated in each draw, and failures are recorded without replacement draws.</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The principal stream uses</w:t>
      </w:r>
      <w:r>
        <w:rPr>
          <w:rFonts w:ascii="Times New Roman" w:hAnsi="Times New Roman" w:cs="Times New Roman"/>
          <w:sz w:val="23"/>
        </w:rPr>
        <w:t xml:space="preserve"> </w:t>
      </w:r>
      <w:r>
        <w:rPr>
          <w:rStyle w:val="VerbatimChar"/>
          <w:rFonts w:ascii="Times New Roman" w:hAnsi="Times New Roman" w:cs="Times New Roman"/>
          <w:sz w:val="23"/>
        </w:rPr>
        <w:t xml:space="preserve">SeedSequence([20261010, block_length])</w:t>
      </w:r>
      <w:r>
        <w:rPr>
          <w:rFonts w:ascii="Times New Roman" w:hAnsi="Times New Roman" w:cs="Times New Roman"/>
          <w:sz w:val="23"/>
        </w:rPr>
        <w:t xml:space="preserve">. The three-month analysis uses 999 draws shared across A/B/C; the one- and six-month checks use 199 each for A and C. Quantiles are computed by linear interpolation. The prior team calculation used a different initialization; this resource retains the frozen principal intervals rather than the more favourable of alternative Monte Carlo realizations. In particular, the principal ordinary-log slope interval includes one.</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For the historical split, each original half has 36 months. Independent three-month resampling within each half produces 999 paired comparisons, shared across A and C. The extension protocol records the period stream</w:t>
      </w:r>
      <w:r>
        <w:rPr>
          <w:rFonts w:ascii="Times New Roman" w:hAnsi="Times New Roman" w:cs="Times New Roman"/>
          <w:sz w:val="23"/>
        </w:rPr>
        <w:t xml:space="preserve"> </w:t>
      </w:r>
      <w:r>
        <w:rPr>
          <w:rStyle w:val="VerbatimChar"/>
          <w:rFonts w:ascii="Times New Roman" w:hAnsi="Times New Roman" w:cs="Times New Roman"/>
          <w:sz w:val="23"/>
        </w:rPr>
        <w:t xml:space="preserve">[20261010, 2, 1]</w:t>
      </w:r>
      <w:r>
        <w:rPr>
          <w:rFonts w:ascii="Times New Roman" w:hAnsi="Times New Roman" w:cs="Times New Roman"/>
          <w:sz w:val="23"/>
        </w:rPr>
        <w:t xml:space="preserve">, the reduced-control stream</w:t>
      </w:r>
      <w:r>
        <w:rPr>
          <w:rFonts w:ascii="Times New Roman" w:hAnsi="Times New Roman" w:cs="Times New Roman"/>
          <w:sz w:val="23"/>
        </w:rPr>
        <w:t xml:space="preserve"> </w:t>
      </w:r>
      <w:r>
        <w:rPr>
          <w:rStyle w:val="VerbatimChar"/>
          <w:rFonts w:ascii="Times New Roman" w:hAnsi="Times New Roman" w:cs="Times New Roman"/>
          <w:sz w:val="23"/>
        </w:rPr>
        <w:t xml:space="preserve">[20261010, 2, 2]</w:t>
      </w:r>
      <w:r>
        <w:rPr>
          <w:rFonts w:ascii="Times New Roman" w:hAnsi="Times New Roman" w:cs="Times New Roman"/>
          <w:sz w:val="23"/>
        </w:rPr>
        <w:t xml:space="preserve"> </w:t>
      </w:r>
      <w:r>
        <w:rPr>
          <w:rFonts w:ascii="Times New Roman" w:hAnsi="Times New Roman" w:cs="Times New Roman"/>
          <w:sz w:val="23"/>
        </w:rPr>
        <w:t xml:space="preserve">and the series stream</w:t>
      </w:r>
      <w:r>
        <w:rPr>
          <w:rFonts w:ascii="Times New Roman" w:hAnsi="Times New Roman" w:cs="Times New Roman"/>
          <w:sz w:val="23"/>
        </w:rPr>
        <w:t xml:space="preserve"> </w:t>
      </w:r>
      <w:r>
        <w:rPr>
          <w:rStyle w:val="VerbatimChar"/>
          <w:rFonts w:ascii="Times New Roman" w:hAnsi="Times New Roman" w:cs="Times New Roman"/>
          <w:sz w:val="23"/>
        </w:rPr>
        <w:t xml:space="preserve">[20261010, 2, 3]</w:t>
      </w:r>
      <w:r>
        <w:rPr>
          <w:rFonts w:ascii="Times New Roman" w:hAnsi="Times New Roman" w:cs="Times New Roman"/>
          <w:sz w:val="23"/>
        </w:rPr>
        <w:t xml:space="preserve">. All nuisance slopes are separately estimated in each half. The two 97.5% slope-difference intervals constitute a Bonferroni-style sensitivity calculation only to the extent that each interval approximation is adequate. They do not correct selection of the historical question or fully represent cross-boundary dependence.</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Reduced-control specifications use 499 draws, and within-series analyses use 399. Each subseries retains the full 72-month calendar axis, including months without selected auctions. EU and PL each have one such empty month. No observation is fabricated there. Singleton months contribute no net within-month information. The completed runs report no failed bootstrap draw. Bootstrap coverage remains approximate, particularly under changes in slopes or dependence.</w:t>
      </w:r>
    </w:p>
    <w:p>
      <w:pPr>
        <w:pStyle w:val="Heading2"/>
        <w:pageBreakBefore w:val="0"/>
        <w:widowControl/>
        <w:ind w:left="0" w:right="0" w:firstLine="0"/>
      </w:pPr>
      <w:r>
        <w:rPr>
          <w:rFonts w:ascii="Times New Roman" w:hAnsi="Times New Roman" w:cs="Times New Roman"/>
          <w:sz w:val="23"/>
        </w:rPr>
        <w:t xml:space="preserve">S4 Additional numerical results</w:t>
      </w:r>
    </w:p>
    <w:p>
      <w:pPr>
        <w:pStyle w:val="Caption"/>
        <w:keepNext/>
        <w:keepLines/>
        <w:pageBreakBefore w:val="0"/>
        <w:widowControl/>
        <w:spacing w:after="80"/>
        <w:ind w:left="0" w:right="0" w:firstLine="0"/>
      </w:pPr>
      <w:r>
        <w:rPr>
          <w:rFonts w:ascii="Times New Roman" w:hAnsi="Times New Roman" w:cs="Times New Roman"/>
          <w:b/>
          <w:bCs/>
          <w:sz w:val="21"/>
        </w:rPr>
        <w:t xml:space="preserve">Table S2 Pooled block-length sensitivity</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902"/>
        <w:gridCol w:w="1384"/>
        <w:gridCol w:w="902"/>
        <w:gridCol w:w="3248"/>
        <w:gridCol w:w="3429"/>
      </w:tblGrid>
      <w:tr>
        <w:trPr>
          <w:tblHeader w:val="on"/>
          <w:cantSplit/>
          <w:tblHeader/>
        </w:trPr>
        <w:tc>
          <w:tcPr>
            <w:tcW w:type="dxa" w:w="902"/>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Spec.</w:t>
            </w:r>
          </w:p>
        </w:tc>
        <w:tc>
          <w:tcPr>
            <w:tcW w:type="dxa" w:w="1384"/>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Block months</w:t>
            </w:r>
          </w:p>
        </w:tc>
        <w:tc>
          <w:tcPr>
            <w:tcW w:type="dxa" w:w="902"/>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Draws</w:t>
            </w:r>
          </w:p>
        </w:tc>
        <w:tc>
          <w:tcPr>
            <w:tcW w:type="dxa" w:w="3248"/>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m:oMath>
              <m:r>
                <m:t>β</m:t>
              </m:r>
            </m:oMath>
            <w:r>
              <w:rPr>
                <w:rFonts w:ascii="Times New Roman" w:hAnsi="Times New Roman" w:cs="Times New Roman"/>
                <w:b/>
                <w:sz w:val="20"/>
              </w:rPr>
              <w:t xml:space="preserve">: 95% interval</w:t>
            </w:r>
          </w:p>
        </w:tc>
        <w:tc>
          <w:tcPr>
            <w:tcW w:type="dxa" w:w="3429"/>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m:oMath>
              <m:r>
                <m:t>θ</m:t>
              </m:r>
            </m:oMath>
            <w:r>
              <w:rPr>
                <w:rFonts w:ascii="Times New Roman" w:hAnsi="Times New Roman" w:cs="Times New Roman"/>
                <w:b/>
                <w:sz w:val="20"/>
              </w:rPr>
              <w:t xml:space="preserve">: 95% interval</w:t>
            </w:r>
          </w:p>
        </w:tc>
      </w:tr>
      <w:tr>
        <w:trPr>
          <w:cantSplit/>
        </w:trPr>
        <w:tc>
          <w:tcPr>
            <w:tcW w:type="dxa" w:w="90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138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w:t>
            </w:r>
          </w:p>
        </w:tc>
        <w:tc>
          <w:tcPr>
            <w:tcW w:type="dxa" w:w="90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199</w:t>
            </w:r>
          </w:p>
        </w:tc>
        <w:tc>
          <w:tcPr>
            <w:tcW w:type="dxa" w:w="3248"/>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[0.7807, 0.9833]</w:t>
            </w:r>
          </w:p>
        </w:tc>
        <w:tc>
          <w:tcPr>
            <w:tcW w:type="dxa" w:w="3429"/>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[0.5903, 0.7158]</w:t>
            </w:r>
          </w:p>
        </w:tc>
      </w:tr>
      <w:tr>
        <w:trPr>
          <w:cantSplit/>
        </w:trPr>
        <w:tc>
          <w:tcPr>
            <w:tcW w:type="dxa" w:w="90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138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w:t>
            </w:r>
          </w:p>
        </w:tc>
        <w:tc>
          <w:tcPr>
            <w:tcW w:type="dxa" w:w="90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999</w:t>
            </w:r>
          </w:p>
        </w:tc>
        <w:tc>
          <w:tcPr>
            <w:tcW w:type="dxa" w:w="3248"/>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[0.7506, 1.0384]</w:t>
            </w:r>
          </w:p>
        </w:tc>
        <w:tc>
          <w:tcPr>
            <w:tcW w:type="dxa" w:w="3429"/>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[0.5714, 0.7422]</w:t>
            </w:r>
          </w:p>
        </w:tc>
      </w:tr>
      <w:tr>
        <w:trPr>
          <w:cantSplit/>
        </w:trPr>
        <w:tc>
          <w:tcPr>
            <w:tcW w:type="dxa" w:w="90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138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6</w:t>
            </w:r>
          </w:p>
        </w:tc>
        <w:tc>
          <w:tcPr>
            <w:tcW w:type="dxa" w:w="90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199</w:t>
            </w:r>
          </w:p>
        </w:tc>
        <w:tc>
          <w:tcPr>
            <w:tcW w:type="dxa" w:w="3248"/>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[0.7350, 1.0292]</w:t>
            </w:r>
          </w:p>
        </w:tc>
        <w:tc>
          <w:tcPr>
            <w:tcW w:type="dxa" w:w="3429"/>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[0.5564, 0.7438]</w:t>
            </w:r>
          </w:p>
        </w:tc>
      </w:tr>
      <w:tr>
        <w:trPr>
          <w:cantSplit/>
        </w:trPr>
        <w:tc>
          <w:tcPr>
            <w:tcW w:type="dxa" w:w="90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w:t>
            </w:r>
          </w:p>
        </w:tc>
        <w:tc>
          <w:tcPr>
            <w:tcW w:type="dxa" w:w="138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w:t>
            </w:r>
          </w:p>
        </w:tc>
        <w:tc>
          <w:tcPr>
            <w:tcW w:type="dxa" w:w="90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199</w:t>
            </w:r>
          </w:p>
        </w:tc>
        <w:tc>
          <w:tcPr>
            <w:tcW w:type="dxa" w:w="3248"/>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[0.7907, 0.9714]</w:t>
            </w:r>
          </w:p>
        </w:tc>
        <w:tc>
          <w:tcPr>
            <w:tcW w:type="dxa" w:w="3429"/>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[0.5855, 0.7134]</w:t>
            </w:r>
          </w:p>
        </w:tc>
      </w:tr>
      <w:tr>
        <w:trPr>
          <w:cantSplit/>
        </w:trPr>
        <w:tc>
          <w:tcPr>
            <w:tcW w:type="dxa" w:w="90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w:t>
            </w:r>
          </w:p>
        </w:tc>
        <w:tc>
          <w:tcPr>
            <w:tcW w:type="dxa" w:w="138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w:t>
            </w:r>
          </w:p>
        </w:tc>
        <w:tc>
          <w:tcPr>
            <w:tcW w:type="dxa" w:w="90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999</w:t>
            </w:r>
          </w:p>
        </w:tc>
        <w:tc>
          <w:tcPr>
            <w:tcW w:type="dxa" w:w="3248"/>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[0.7627, 1.0143]</w:t>
            </w:r>
          </w:p>
        </w:tc>
        <w:tc>
          <w:tcPr>
            <w:tcW w:type="dxa" w:w="3429"/>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[0.5660, 0.7402]</w:t>
            </w:r>
          </w:p>
        </w:tc>
      </w:tr>
      <w:tr>
        <w:trPr>
          <w:cantSplit/>
        </w:trPr>
        <w:tc>
          <w:tcPr>
            <w:tcW w:type="dxa" w:w="90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w:t>
            </w:r>
          </w:p>
        </w:tc>
        <w:tc>
          <w:tcPr>
            <w:tcW w:type="dxa" w:w="138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6</w:t>
            </w:r>
          </w:p>
        </w:tc>
        <w:tc>
          <w:tcPr>
            <w:tcW w:type="dxa" w:w="90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199</w:t>
            </w:r>
          </w:p>
        </w:tc>
        <w:tc>
          <w:tcPr>
            <w:tcW w:type="dxa" w:w="3248"/>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[0.7503, 1.0090]</w:t>
            </w:r>
          </w:p>
        </w:tc>
        <w:tc>
          <w:tcPr>
            <w:tcW w:type="dxa" w:w="3429"/>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[0.5526, 0.7493]</w:t>
            </w:r>
          </w:p>
        </w:tc>
      </w:tr>
    </w:tbl>
    <w:p>
      <w:pPr>
        <w:pStyle w:val="TableNote"/>
        <w:keepNext w:val="0"/>
        <w:keepLines/>
        <w:pageBreakBefore w:val="0"/>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These are exploratory percentile intervals. Three-month rows reproduce the principal result; they are not additional replications. Sensitivity endpoints based on 199 draws have non-negligible Monte Carlo variability.</w:t>
      </w:r>
    </w:p>
    <w:p>
      <w:pPr>
        <w:pStyle w:val="Caption"/>
        <w:keepNext/>
        <w:keepLines/>
        <w:pageBreakBefore w:val="0"/>
        <w:widowControl/>
        <w:spacing w:after="80"/>
        <w:ind w:left="0" w:right="0" w:firstLine="0"/>
      </w:pPr>
      <w:r>
        <w:rPr>
          <w:rFonts w:ascii="Times New Roman" w:hAnsi="Times New Roman" w:cs="Times New Roman"/>
          <w:b/>
          <w:bCs/>
          <w:sz w:val="21"/>
        </w:rPr>
        <w:t xml:space="preserve">Table S3 Influence sensitivity of residual correlation</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4691"/>
        <w:gridCol w:w="2587"/>
        <w:gridCol w:w="2587"/>
      </w:tblGrid>
      <w:tr>
        <w:trPr>
          <w:tblHeader w:val="on"/>
          <w:cantSplit/>
          <w:tblHeader/>
        </w:trPr>
        <w:tc>
          <w:tcPr>
            <w:tcW w:type="dxa" w:w="4691"/>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Deletion diagnostic</w:t>
            </w:r>
          </w:p>
        </w:tc>
        <w:tc>
          <w:tcPr>
            <w:tcW w:type="dxa" w:w="2587"/>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A:</w:t>
            </w:r>
            <w:r>
              <w:rPr>
                <w:rFonts w:ascii="Times New Roman" w:hAnsi="Times New Roman" w:cs="Times New Roman"/>
                <w:b/>
                <w:sz w:val="20"/>
              </w:rPr>
              <w:t xml:space="preserve"> </w:t>
            </w:r>
            <m:oMath>
              <m:r>
                <m:t>θ</m:t>
              </m:r>
            </m:oMath>
            <w:r>
              <w:rPr>
                <w:rFonts w:ascii="Times New Roman" w:hAnsi="Times New Roman" w:cs="Times New Roman"/>
                <w:b/>
                <w:sz w:val="20"/>
              </w:rPr>
              <w:t xml:space="preserve"> </w:t>
            </w:r>
            <w:r>
              <w:rPr>
                <w:rFonts w:ascii="Times New Roman" w:hAnsi="Times New Roman" w:cs="Times New Roman"/>
                <w:b/>
                <w:sz w:val="20"/>
              </w:rPr>
              <w:t xml:space="preserve">range / value</w:t>
            </w:r>
          </w:p>
        </w:tc>
        <w:tc>
          <w:tcPr>
            <w:tcW w:type="dxa" w:w="2587"/>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C:</w:t>
            </w:r>
            <w:r>
              <w:rPr>
                <w:rFonts w:ascii="Times New Roman" w:hAnsi="Times New Roman" w:cs="Times New Roman"/>
                <w:b/>
                <w:sz w:val="20"/>
              </w:rPr>
              <w:t xml:space="preserve"> </w:t>
            </w:r>
            <m:oMath>
              <m:r>
                <m:t>θ</m:t>
              </m:r>
            </m:oMath>
            <w:r>
              <w:rPr>
                <w:rFonts w:ascii="Times New Roman" w:hAnsi="Times New Roman" w:cs="Times New Roman"/>
                <w:b/>
                <w:sz w:val="20"/>
              </w:rPr>
              <w:t xml:space="preserve"> </w:t>
            </w:r>
            <w:r>
              <w:rPr>
                <w:rFonts w:ascii="Times New Roman" w:hAnsi="Times New Roman" w:cs="Times New Roman"/>
                <w:b/>
                <w:sz w:val="20"/>
              </w:rPr>
              <w:t xml:space="preserve">range / value</w:t>
            </w:r>
          </w:p>
        </w:tc>
      </w:tr>
      <w:tr>
        <w:trPr>
          <w:cantSplit/>
        </w:trPr>
        <w:tc>
          <w:tcPr>
            <w:tcW w:type="dxa" w:w="469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One calendar month</w:t>
            </w:r>
          </w:p>
        </w:tc>
        <w:tc>
          <w:tcPr>
            <w:tcW w:type="dxa" w:w="258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[0.6419, 0.6656]</w:t>
            </w:r>
          </w:p>
        </w:tc>
        <w:tc>
          <w:tcPr>
            <w:tcW w:type="dxa" w:w="258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[0.6405, 0.6674]</w:t>
            </w:r>
          </w:p>
        </w:tc>
      </w:tr>
      <w:tr>
        <w:trPr>
          <w:cantSplit/>
        </w:trPr>
        <w:tc>
          <w:tcPr>
            <w:tcW w:type="dxa" w:w="469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One calendar year</w:t>
            </w:r>
          </w:p>
        </w:tc>
        <w:tc>
          <w:tcPr>
            <w:tcW w:type="dxa" w:w="258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[0.6058, 0.6981]</w:t>
            </w:r>
          </w:p>
        </w:tc>
        <w:tc>
          <w:tcPr>
            <w:tcW w:type="dxa" w:w="258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[0.6023, 0.6996]</w:t>
            </w:r>
          </w:p>
        </w:tc>
      </w:tr>
      <w:tr>
        <w:trPr>
          <w:cantSplit/>
        </w:trPr>
        <w:tc>
          <w:tcPr>
            <w:tcW w:type="dxa" w:w="469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One reporting series</w:t>
            </w:r>
          </w:p>
        </w:tc>
        <w:tc>
          <w:tcPr>
            <w:tcW w:type="dxa" w:w="258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[0.6019, 0.7120]</w:t>
            </w:r>
          </w:p>
        </w:tc>
        <w:tc>
          <w:tcPr>
            <w:tcW w:type="dxa" w:w="258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[0.6110, 0.7081]</w:t>
            </w:r>
          </w:p>
        </w:tc>
      </w:tr>
      <w:tr>
        <w:trPr>
          <w:cantSplit/>
        </w:trPr>
        <w:tc>
          <w:tcPr>
            <w:tcW w:type="dxa" w:w="469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One observation</w:t>
            </w:r>
          </w:p>
        </w:tc>
        <w:tc>
          <w:tcPr>
            <w:tcW w:type="dxa" w:w="258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[0.6467, 0.6569]</w:t>
            </w:r>
          </w:p>
        </w:tc>
        <w:tc>
          <w:tcPr>
            <w:tcW w:type="dxa" w:w="258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[0.6457, 0.6577]</w:t>
            </w:r>
          </w:p>
        </w:tc>
      </w:tr>
      <w:tr>
        <w:trPr>
          <w:cantSplit/>
        </w:trPr>
        <w:tc>
          <w:tcPr>
            <w:tcW w:type="dxa" w:w="4691"/>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Top 13 Cook-distance rows</w:t>
            </w:r>
          </w:p>
        </w:tc>
        <w:tc>
          <w:tcPr>
            <w:tcW w:type="dxa" w:w="258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0.6911</w:t>
            </w:r>
          </w:p>
        </w:tc>
        <w:tc>
          <w:tcPr>
            <w:tcW w:type="dxa" w:w="258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0.6930</w:t>
            </w:r>
          </w:p>
        </w:tc>
      </w:tr>
    </w:tbl>
    <w:p>
      <w:pPr>
        <w:pStyle w:val="TableNote"/>
        <w:keepNext w:val="0"/>
        <w:keepLines/>
        <w:pageBreakBefore w:val="0"/>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Bracketed values are deterministic deletion ranges, not confidence intervals. The largest-Cook-distance set is selected within each specification only for diagnosis. It does not define a revised data-cleaning rule. All main estimates retain 1,281 auctions.</w:t>
      </w:r>
    </w:p>
    <w:p>
      <w:pPr>
        <w:pStyle w:val="Caption"/>
        <w:keepNext/>
        <w:keepLines/>
        <w:pageBreakBefore w:val="0"/>
        <w:widowControl/>
        <w:spacing w:after="80"/>
        <w:ind w:left="0" w:right="0" w:firstLine="0"/>
      </w:pPr>
      <w:r>
        <w:rPr>
          <w:rFonts w:ascii="Times New Roman" w:hAnsi="Times New Roman" w:cs="Times New Roman"/>
          <w:b/>
          <w:bCs/>
          <w:sz w:val="21"/>
        </w:rPr>
        <w:t xml:space="preserve">Table S4 Within-series residual association</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1082"/>
        <w:gridCol w:w="1323"/>
        <w:gridCol w:w="1082"/>
        <w:gridCol w:w="1504"/>
        <w:gridCol w:w="4873"/>
      </w:tblGrid>
      <w:tr>
        <w:trPr>
          <w:tblHeader w:val="on"/>
          <w:cantSplit/>
          <w:tblHeader/>
        </w:trPr>
        <w:tc>
          <w:tcPr>
            <w:tcW w:type="dxa" w:w="1082"/>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Spec.</w:t>
            </w:r>
          </w:p>
        </w:tc>
        <w:tc>
          <w:tcPr>
            <w:tcW w:type="dxa" w:w="1323"/>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Series</w:t>
            </w:r>
          </w:p>
        </w:tc>
        <w:tc>
          <w:tcPr>
            <w:tcW w:type="dxa" w:w="1082"/>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m:oMath>
              <m:r>
                <m:t>n</m:t>
              </m:r>
            </m:oMath>
          </w:p>
        </w:tc>
        <w:tc>
          <w:tcPr>
            <w:tcW w:type="dxa" w:w="1504"/>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Residual df</w:t>
            </w:r>
          </w:p>
        </w:tc>
        <w:tc>
          <w:tcPr>
            <w:tcW w:type="dxa" w:w="4873"/>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m:oMath>
              <m:r>
                <m:t>θ</m:t>
              </m:r>
            </m:oMath>
            <w:r>
              <w:rPr>
                <w:rFonts w:ascii="Times New Roman" w:hAnsi="Times New Roman" w:cs="Times New Roman"/>
                <w:b/>
                <w:sz w:val="20"/>
              </w:rPr>
              <w:t xml:space="preserve"> </w:t>
            </w:r>
            <w:r>
              <w:rPr>
                <w:rFonts w:ascii="Times New Roman" w:hAnsi="Times New Roman" w:cs="Times New Roman"/>
                <w:b/>
                <w:sz w:val="20"/>
              </w:rPr>
              <w:t xml:space="preserve">[95% interval]</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132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EU</w:t>
            </w:r>
          </w:p>
        </w:tc>
        <w:tc>
          <w:tcPr>
            <w:tcW w:type="dxa" w:w="108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840</w:t>
            </w:r>
          </w:p>
        </w:tc>
        <w:tc>
          <w:tcPr>
            <w:tcW w:type="dxa" w:w="150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764</w:t>
            </w:r>
          </w:p>
        </w:tc>
        <w:tc>
          <w:tcPr>
            <w:tcW w:type="dxa" w:w="487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0.6898 [0.6283, 0.7585]</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132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DE</w:t>
            </w:r>
          </w:p>
        </w:tc>
        <w:tc>
          <w:tcPr>
            <w:tcW w:type="dxa" w:w="108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275</w:t>
            </w:r>
          </w:p>
        </w:tc>
        <w:tc>
          <w:tcPr>
            <w:tcW w:type="dxa" w:w="150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198</w:t>
            </w:r>
          </w:p>
        </w:tc>
        <w:tc>
          <w:tcPr>
            <w:tcW w:type="dxa" w:w="487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0.5619 [0.4567, 0.6808]</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t>
            </w:r>
          </w:p>
        </w:tc>
        <w:tc>
          <w:tcPr>
            <w:tcW w:type="dxa" w:w="132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PL</w:t>
            </w:r>
          </w:p>
        </w:tc>
        <w:tc>
          <w:tcPr>
            <w:tcW w:type="dxa" w:w="108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166</w:t>
            </w:r>
          </w:p>
        </w:tc>
        <w:tc>
          <w:tcPr>
            <w:tcW w:type="dxa" w:w="150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90</w:t>
            </w:r>
          </w:p>
        </w:tc>
        <w:tc>
          <w:tcPr>
            <w:tcW w:type="dxa" w:w="487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0.8076 [0.6943, 0.8828]</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w:t>
            </w:r>
          </w:p>
        </w:tc>
        <w:tc>
          <w:tcPr>
            <w:tcW w:type="dxa" w:w="132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EU</w:t>
            </w:r>
          </w:p>
        </w:tc>
        <w:tc>
          <w:tcPr>
            <w:tcW w:type="dxa" w:w="108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840</w:t>
            </w:r>
          </w:p>
        </w:tc>
        <w:tc>
          <w:tcPr>
            <w:tcW w:type="dxa" w:w="150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764</w:t>
            </w:r>
          </w:p>
        </w:tc>
        <w:tc>
          <w:tcPr>
            <w:tcW w:type="dxa" w:w="487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0.6839 [0.6159, 0.7587]</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w:t>
            </w:r>
          </w:p>
        </w:tc>
        <w:tc>
          <w:tcPr>
            <w:tcW w:type="dxa" w:w="132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DE</w:t>
            </w:r>
          </w:p>
        </w:tc>
        <w:tc>
          <w:tcPr>
            <w:tcW w:type="dxa" w:w="108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275</w:t>
            </w:r>
          </w:p>
        </w:tc>
        <w:tc>
          <w:tcPr>
            <w:tcW w:type="dxa" w:w="150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198</w:t>
            </w:r>
          </w:p>
        </w:tc>
        <w:tc>
          <w:tcPr>
            <w:tcW w:type="dxa" w:w="487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0.5689 [0.4679, 0.6870]</w:t>
            </w:r>
          </w:p>
        </w:tc>
      </w:tr>
      <w:tr>
        <w:trPr>
          <w:cantSplit/>
        </w:trPr>
        <w:tc>
          <w:tcPr>
            <w:tcW w:type="dxa" w:w="1082"/>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w:t>
            </w:r>
          </w:p>
        </w:tc>
        <w:tc>
          <w:tcPr>
            <w:tcW w:type="dxa" w:w="132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PL</w:t>
            </w:r>
          </w:p>
        </w:tc>
        <w:tc>
          <w:tcPr>
            <w:tcW w:type="dxa" w:w="1082"/>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166</w:t>
            </w:r>
          </w:p>
        </w:tc>
        <w:tc>
          <w:tcPr>
            <w:tcW w:type="dxa" w:w="1504"/>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90</w:t>
            </w:r>
          </w:p>
        </w:tc>
        <w:tc>
          <w:tcPr>
            <w:tcW w:type="dxa" w:w="4873"/>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0.8138 [0.7005, 0.8850]</w:t>
            </w:r>
          </w:p>
        </w:tc>
      </w:tr>
    </w:tbl>
    <w:p>
      <w:pPr>
        <w:pStyle w:val="TableNote"/>
        <w:keepNext w:val="0"/>
        <w:keepLines/>
        <w:pageBreakBefore w:val="0"/>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Each series has its own month effects and numeric controls. Intervals use 399 three-month block draws. These are not independent-market replications or formal tests that series coefficients differ. The small PL residual sample limits interpretation.</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The interquartile-scale contrasts reported in the main article are already present in the frozen extension output. Under A,</w:t>
      </w:r>
      <w:r>
        <w:rPr>
          <w:rFonts w:ascii="Times New Roman" w:hAnsi="Times New Roman" w:cs="Times New Roman"/>
          <w:sz w:val="23"/>
        </w:rPr>
        <w:t xml:space="preserve"> </w:t>
      </w:r>
      <m:oMath>
        <m:r>
          <m:rPr>
            <m:sty m:val="p"/>
          </m:rPr>
          <m:t>IQR</m:t>
        </m:r>
        <m:d>
          <m:dPr>
            <m:begChr m:val="("/>
            <m:endChr m:val=")"/>
            <m:sepChr m:val=""/>
            <m:grow/>
          </m:dPr>
          <m:e>
            <m:sSub>
              <m:e>
                <m:r>
                  <m:rPr>
                    <m:sty m:val="b"/>
                  </m:rPr>
                  <m:t>M</m:t>
                </m:r>
              </m:e>
              <m:sub>
                <m:r>
                  <m:rPr>
                    <m:sty m:val="b"/>
                  </m:rPr>
                  <m:t>Z</m:t>
                </m:r>
              </m:sub>
            </m:sSub>
            <m:r>
              <m:t>x</m:t>
            </m:r>
          </m:e>
        </m:d>
        <m:r>
          <m:rPr>
            <m:sty m:val="p"/>
          </m:rPr>
          <m:t>=</m:t>
        </m:r>
        <m:r>
          <m:t>0.0927037454</m:t>
        </m:r>
      </m:oMath>
      <w:r>
        <w:rPr>
          <w:rFonts w:ascii="Times New Roman" w:hAnsi="Times New Roman" w:cs="Times New Roman"/>
          <w:sz w:val="23"/>
        </w:rPr>
        <w:t xml:space="preserve"> </w:t>
      </w:r>
      <w:r>
        <w:rPr>
          <w:rFonts w:ascii="Times New Roman" w:hAnsi="Times New Roman" w:cs="Times New Roman"/>
          <w:sz w:val="23"/>
        </w:rPr>
        <w:t xml:space="preserve">and the corresponding fitted transformed-response contrast is 0.0816007553. Under C, these values are 0.1600483679 and 0.1407987656. They are partial-regression scale summaries. Exponentiating a transformed fitted value would not, without further assumptions, recover the arithmetic conditional mean of the original ratio. No such raw-scale mean or procurement outcome is estimated here.</w:t>
      </w:r>
    </w:p>
    <w:p>
      <w:pPr>
        <w:pStyle w:val="Heading2"/>
        <w:pageBreakBefore w:val="0"/>
        <w:widowControl/>
        <w:ind w:left="0" w:right="0" w:firstLine="0"/>
      </w:pPr>
      <w:r>
        <w:rPr>
          <w:rFonts w:ascii="Times New Roman" w:hAnsi="Times New Roman" w:cs="Times New Roman"/>
          <w:sz w:val="23"/>
        </w:rPr>
        <w:t xml:space="preserve">S5 Denominator identities and rounding</w:t>
      </w:r>
    </w:p>
    <w:p>
      <w:pPr>
        <w:pStyle w:val="BodyText"/>
        <w:keepNext/>
        <w:keepLines/>
        <w:pageBreakBefore w:val="0"/>
        <w:widowControl/>
        <w:spacing w:line="269" w:lineRule="auto" w:before="0" w:after="120"/>
        <w:ind w:left="0" w:right="0" w:firstLine="0"/>
      </w:pPr>
      <w:r>
        <w:rPr>
          <w:rFonts w:ascii="Times New Roman" w:hAnsi="Times New Roman" w:cs="Times New Roman"/>
          <w:sz w:val="23"/>
        </w:rPr>
        <w:t xml:space="preserve">For this diagnostic only, a superscript c labels constructed fields. Define</w:t>
      </w:r>
      <w:r>
        <w:rPr>
          <w:rFonts w:ascii="Times New Roman" w:hAnsi="Times New Roman" w:cs="Times New Roman"/>
          <w:sz w:val="23"/>
        </w:rPr>
        <w:t xml:space="preserve"> </w:t>
      </w:r>
      <m:oMath>
        <m:sSup>
          <m:e>
            <m:r>
              <m:t>μ</m:t>
            </m:r>
          </m:e>
          <m:sup>
            <m:r>
              <m:t>b</m:t>
            </m:r>
            <m:r>
              <m:rPr>
                <m:sty m:val="p"/>
              </m:rPr>
              <m:t>,</m:t>
            </m:r>
            <m:r>
              <m:rPr>
                <m:sty m:val="p"/>
              </m:rPr>
              <m:t>c</m:t>
            </m:r>
          </m:sup>
        </m:sSup>
        <m:r>
          <m:rPr>
            <m:sty m:val="p"/>
          </m:rPr>
          <m:t>=</m:t>
        </m:r>
        <m:r>
          <m:t>B</m:t>
        </m:r>
        <m:r>
          <m:rPr>
            <m:sty m:val="p"/>
          </m:rPr>
          <m:t>/</m:t>
        </m:r>
        <m:r>
          <m:t>N</m:t>
        </m:r>
      </m:oMath>
      <w:r>
        <w:rPr>
          <w:rFonts w:ascii="Times New Roman" w:hAnsi="Times New Roman" w:cs="Times New Roman"/>
          <w:sz w:val="23"/>
        </w:rPr>
        <w:t xml:space="preserve">,</w:t>
      </w:r>
      <w:r>
        <w:rPr>
          <w:rFonts w:ascii="Times New Roman" w:hAnsi="Times New Roman" w:cs="Times New Roman"/>
          <w:sz w:val="23"/>
        </w:rPr>
        <w:t xml:space="preserve"> </w:t>
      </w:r>
      <m:oMath>
        <m:sSup>
          <m:e>
            <m:r>
              <m:t>μ</m:t>
            </m:r>
          </m:e>
          <m:sup>
            <m:r>
              <m:t>w</m:t>
            </m:r>
            <m:r>
              <m:rPr>
                <m:sty m:val="p"/>
              </m:rPr>
              <m:t>,</m:t>
            </m:r>
            <m:r>
              <m:rPr>
                <m:sty m:val="p"/>
              </m:rPr>
              <m:t>c</m:t>
            </m:r>
          </m:sup>
        </m:sSup>
        <m:r>
          <m:rPr>
            <m:sty m:val="p"/>
          </m:rPr>
          <m:t>=</m:t>
        </m:r>
        <m:r>
          <m:t>V</m:t>
        </m:r>
        <m:r>
          <m:rPr>
            <m:sty m:val="p"/>
          </m:rPr>
          <m:t>/</m:t>
        </m:r>
        <m:r>
          <m:t>S</m:t>
        </m:r>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sSup>
          <m:e>
            <m:r>
              <m:t>R</m:t>
            </m:r>
          </m:e>
          <m:sup>
            <m:r>
              <m:rPr>
                <m:sty m:val="p"/>
              </m:rPr>
              <m:t>c</m:t>
            </m:r>
          </m:sup>
        </m:sSup>
        <m:r>
          <m:rPr>
            <m:sty m:val="p"/>
          </m:rPr>
          <m:t>=</m:t>
        </m:r>
        <m:r>
          <m:t>B</m:t>
        </m:r>
        <m:r>
          <m:rPr>
            <m:sty m:val="p"/>
          </m:rPr>
          <m:t>/</m:t>
        </m:r>
        <m:r>
          <m:t>V</m:t>
        </m:r>
      </m:oMath>
      <w:r>
        <w:rPr>
          <w:rFonts w:ascii="Times New Roman" w:hAnsi="Times New Roman" w:cs="Times New Roman"/>
          <w:sz w:val="23"/>
        </w:rPr>
        <w:t xml:space="preserve">, retaining</w:t>
      </w:r>
      <w:r>
        <w:rPr>
          <w:rFonts w:ascii="Times New Roman" w:hAnsi="Times New Roman" w:cs="Times New Roman"/>
          <w:sz w:val="23"/>
        </w:rPr>
        <w:t xml:space="preserve"> </w:t>
      </w:r>
      <m:oMath>
        <m:r>
          <m:t>V</m:t>
        </m:r>
      </m:oMath>
      <w:r>
        <w:rPr>
          <w:rFonts w:ascii="Times New Roman" w:hAnsi="Times New Roman" w:cs="Times New Roman"/>
          <w:sz w:val="23"/>
        </w:rPr>
        <w:t xml:space="preserve"> </w:t>
      </w:r>
      <w:r>
        <w:rPr>
          <w:rFonts w:ascii="Times New Roman" w:hAnsi="Times New Roman" w:cs="Times New Roman"/>
          <w:sz w:val="23"/>
        </w:rPr>
        <w:t xml:space="preserve">as the reported auction-volume field. For positive components,</w:t>
      </w:r>
    </w:p>
    <w:p>
      <w:pPr>
        <w:pStyle w:val="BodyText"/>
        <w:keepNext/>
        <w:keepLines/>
        <w:pageBreakBefore w:val="0"/>
        <w:widowControl/>
        <w:spacing w:before="140" w:after="180"/>
        <w:jc w:val="left"/>
        <w:tabs>
          <w:tab w:pos="4900" w:val="center"/>
          <w:tab w:pos="9865" w:val="right"/>
        </w:tabs>
      </w:pPr>
      <w:r>
        <w:rPr>
          <w:rFonts w:ascii="Times New Roman" w:hAnsi="Times New Roman" w:cs="Times New Roman"/>
          <w:sz w:val="23"/>
        </w:rPr>
        <w:tab/>
      </w:r>
      <m:oMath>
        <m:r>
          <m:rPr>
            <m:sty m:val="p"/>
          </m:rPr>
          <m:t>log</m:t>
        </m:r>
        <m:sSup>
          <m:e>
            <m:r>
              <m:t>r</m:t>
            </m:r>
          </m:e>
          <m:sup>
            <m:r>
              <m:t>b</m:t>
            </m:r>
            <m:r>
              <m:rPr>
                <m:sty m:val="p"/>
              </m:rPr>
              <m:t>,</m:t>
            </m:r>
            <m:r>
              <m:rPr>
                <m:sty m:val="p"/>
              </m:rPr>
              <m:t>c</m:t>
            </m:r>
          </m:sup>
        </m:sSup>
        <m:r>
          <m:rPr>
            <m:sty m:val="p"/>
          </m:rPr>
          <m:t>=</m:t>
        </m:r>
        <m:r>
          <m:rPr>
            <m:sty m:val="p"/>
          </m:rPr>
          <m:t>log</m:t>
        </m:r>
        <m:sSup>
          <m:e>
            <m:r>
              <m:t>s</m:t>
            </m:r>
          </m:e>
          <m:sup>
            <m:r>
              <m:t>b</m:t>
            </m:r>
          </m:sup>
        </m:sSup>
        <m:r>
          <m:rPr>
            <m:sty m:val="p"/>
          </m:rPr>
          <m:t>+</m:t>
        </m:r>
        <m:r>
          <m:rPr>
            <m:sty m:val="p"/>
          </m:rPr>
          <m:t>log</m:t>
        </m:r>
        <m:r>
          <m:t>N</m:t>
        </m:r>
        <m:r>
          <m:rPr>
            <m:sty m:val="p"/>
          </m:rPr>
          <m:t>−</m:t>
        </m:r>
        <m:r>
          <m:rPr>
            <m:sty m:val="p"/>
          </m:rPr>
          <m:t>log</m:t>
        </m:r>
        <m:sSup>
          <m:e>
            <m:r>
              <m:t>R</m:t>
            </m:r>
          </m:e>
          <m:sup>
            <m:r>
              <m:rPr>
                <m:sty m:val="p"/>
              </m:rPr>
              <m:t>c</m:t>
            </m:r>
          </m:sup>
        </m:sSup>
        <m:r>
          <m:rPr>
            <m:sty m:val="p"/>
          </m:rPr>
          <m:t>−</m:t>
        </m:r>
        <m:r>
          <m:rPr>
            <m:sty m:val="p"/>
          </m:rPr>
          <m:t>log</m:t>
        </m:r>
        <m:r>
          <m:t>V</m:t>
        </m:r>
        <m:r>
          <m:rPr>
            <m:sty m:val="p"/>
          </m:rPr>
          <m:t>,</m:t>
        </m:r>
      </m:oMath>
      <w:r>
        <w:rPr>
          <w:rFonts w:ascii="Times New Roman" w:hAnsi="Times New Roman" w:cs="Times New Roman"/>
          <w:sz w:val="23"/>
        </w:rPr>
        <w:tab/>
        <w:t>(S1)</w:t>
      </w:r>
    </w:p>
    <w:p>
      <w:pPr>
        <w:pStyle w:val="BodyText"/>
        <w:keepNext w:val="0"/>
        <w:keepLines/>
        <w:pageBreakBefore w:val="0"/>
        <w:widowControl/>
        <w:spacing w:before="140" w:after="180"/>
        <w:jc w:val="left"/>
        <w:tabs>
          <w:tab w:pos="4900" w:val="center"/>
          <w:tab w:pos="9865" w:val="right"/>
        </w:tabs>
      </w:pPr>
      <w:r>
        <w:rPr>
          <w:rFonts w:ascii="Times New Roman" w:hAnsi="Times New Roman" w:cs="Times New Roman"/>
          <w:sz w:val="23"/>
        </w:rPr>
        <w:tab/>
      </w:r>
      <m:oMath>
        <m:r>
          <m:rPr>
            <m:sty m:val="p"/>
          </m:rPr>
          <m:t>log</m:t>
        </m:r>
        <m:sSup>
          <m:e>
            <m:r>
              <m:t>r</m:t>
            </m:r>
          </m:e>
          <m:sup>
            <m:r>
              <m:t>w</m:t>
            </m:r>
            <m:r>
              <m:rPr>
                <m:sty m:val="p"/>
              </m:rPr>
              <m:t>,</m:t>
            </m:r>
            <m:r>
              <m:rPr>
                <m:sty m:val="p"/>
              </m:rPr>
              <m:t>c</m:t>
            </m:r>
          </m:sup>
        </m:sSup>
        <m:r>
          <m:rPr>
            <m:sty m:val="p"/>
          </m:rPr>
          <m:t>=</m:t>
        </m:r>
        <m:r>
          <m:rPr>
            <m:sty m:val="p"/>
          </m:rPr>
          <m:t>log</m:t>
        </m:r>
        <m:sSup>
          <m:e>
            <m:r>
              <m:t>s</m:t>
            </m:r>
          </m:e>
          <m:sup>
            <m:r>
              <m:t>w</m:t>
            </m:r>
          </m:sup>
        </m:sSup>
        <m:r>
          <m:rPr>
            <m:sty m:val="p"/>
          </m:rPr>
          <m:t>+</m:t>
        </m:r>
        <m:r>
          <m:rPr>
            <m:sty m:val="p"/>
          </m:rPr>
          <m:t>log</m:t>
        </m:r>
        <m:r>
          <m:t>S</m:t>
        </m:r>
        <m:r>
          <m:rPr>
            <m:sty m:val="p"/>
          </m:rPr>
          <m:t>−</m:t>
        </m:r>
        <m:r>
          <m:rPr>
            <m:sty m:val="p"/>
          </m:rPr>
          <m:t>log</m:t>
        </m:r>
        <m:r>
          <m:t>V</m:t>
        </m:r>
        <m:r>
          <m:rPr>
            <m:sty m:val="p"/>
          </m:rPr>
          <m:t>.</m:t>
        </m:r>
      </m:oMath>
      <w:r>
        <w:rPr>
          <w:rFonts w:ascii="Times New Roman" w:hAnsi="Times New Roman" w:cs="Times New Roman"/>
          <w:sz w:val="23"/>
        </w:rPr>
        <w:tab/>
        <w:t>(S2)</w:t>
      </w:r>
    </w:p>
    <w:p>
      <w:pPr>
        <w:pStyle w:val="BodyText"/>
        <w:keepNext/>
        <w:pageBreakBefore w:val="0"/>
        <w:widowControl/>
        <w:spacing w:line="269" w:lineRule="auto" w:before="0" w:after="120"/>
        <w:ind w:left="0" w:right="0" w:firstLine="0"/>
      </w:pPr>
      <w:r>
        <w:rPr>
          <w:rFonts w:ascii="Times New Roman" w:hAnsi="Times New Roman" w:cs="Times New Roman"/>
          <w:sz w:val="23"/>
        </w:rPr>
        <w:t xml:space="preserve">If the common nuisance space</w:t>
      </w:r>
      <w:r>
        <w:rPr>
          <w:rFonts w:ascii="Times New Roman" w:hAnsi="Times New Roman" w:cs="Times New Roman"/>
          <w:sz w:val="23"/>
        </w:rPr>
        <w:t xml:space="preserve"> </w:t>
      </w:r>
      <m:oMath>
        <m:sSup>
          <m:e>
            <m:r>
              <m:rPr>
                <m:sty m:val="b"/>
              </m:rPr>
              <m:t>Z</m:t>
            </m:r>
          </m:e>
          <m:sup>
            <m:r>
              <m:rPr>
                <m:sty m:val="p"/>
              </m:rPr>
              <m:t>c</m:t>
            </m:r>
          </m:sup>
        </m:sSup>
      </m:oMath>
      <w:r>
        <w:rPr>
          <w:rFonts w:ascii="Times New Roman" w:hAnsi="Times New Roman" w:cs="Times New Roman"/>
          <w:sz w:val="23"/>
        </w:rPr>
        <w:t xml:space="preserve"> </w:t>
      </w:r>
      <w:r>
        <w:rPr>
          <w:rFonts w:ascii="Times New Roman" w:hAnsi="Times New Roman" w:cs="Times New Roman"/>
          <w:sz w:val="23"/>
        </w:rPr>
        <w:t xml:space="preserve">contains these constructed log totals and counts, linear projection gives</w:t>
      </w:r>
    </w:p>
    <w:p>
      <w:pPr>
        <w:pStyle w:val="BodyText"/>
        <w:keepNext w:val="0"/>
        <w:keepLines/>
        <w:pageBreakBefore w:val="0"/>
        <w:widowControl/>
        <w:spacing w:before="140" w:after="180"/>
        <w:jc w:val="left"/>
        <w:tabs>
          <w:tab w:pos="4900" w:val="center"/>
          <w:tab w:pos="9865" w:val="right"/>
        </w:tabs>
      </w:pPr>
      <w:r>
        <w:rPr>
          <w:rFonts w:ascii="Times New Roman" w:hAnsi="Times New Roman" w:cs="Times New Roman"/>
          <w:sz w:val="23"/>
        </w:rPr>
        <w:tab/>
      </w:r>
      <m:oMath>
        <m:sSub>
          <m:e>
            <m:r>
              <m:rPr>
                <m:sty m:val="b"/>
              </m:rPr>
              <m:t>M</m:t>
            </m:r>
          </m:e>
          <m:sub>
            <m:sSup>
              <m:e>
                <m:r>
                  <m:rPr>
                    <m:sty m:val="b"/>
                  </m:rPr>
                  <m:t>Z</m:t>
                </m:r>
              </m:e>
              <m:sup>
                <m:r>
                  <m:rPr>
                    <m:sty m:val="p"/>
                  </m:rPr>
                  <m:t>c</m:t>
                </m:r>
              </m:sup>
            </m:sSup>
          </m:sub>
        </m:sSub>
        <m:r>
          <m:rPr>
            <m:sty m:val="p"/>
          </m:rPr>
          <m:t>log</m:t>
        </m:r>
        <m:sSup>
          <m:e>
            <m:r>
              <m:rPr>
                <m:sty m:val="b"/>
              </m:rPr>
              <m:t>r</m:t>
            </m:r>
          </m:e>
          <m:sup>
            <m:r>
              <m:t>b</m:t>
            </m:r>
            <m:r>
              <m:rPr>
                <m:sty m:val="p"/>
              </m:rPr>
              <m:t>,</m:t>
            </m:r>
            <m:r>
              <m:rPr>
                <m:sty m:val="p"/>
              </m:rPr>
              <m:t>c</m:t>
            </m:r>
          </m:sup>
        </m:sSup>
        <m:r>
          <m:rPr>
            <m:sty m:val="p"/>
          </m:rPr>
          <m:t>=</m:t>
        </m:r>
        <m:sSub>
          <m:e>
            <m:r>
              <m:rPr>
                <m:sty m:val="b"/>
              </m:rPr>
              <m:t>M</m:t>
            </m:r>
          </m:e>
          <m:sub>
            <m:sSup>
              <m:e>
                <m:r>
                  <m:rPr>
                    <m:sty m:val="b"/>
                  </m:rPr>
                  <m:t>Z</m:t>
                </m:r>
              </m:e>
              <m:sup>
                <m:r>
                  <m:rPr>
                    <m:sty m:val="p"/>
                  </m:rPr>
                  <m:t>c</m:t>
                </m:r>
              </m:sup>
            </m:sSup>
          </m:sub>
        </m:sSub>
        <m:r>
          <m:rPr>
            <m:sty m:val="p"/>
          </m:rPr>
          <m:t>log</m:t>
        </m:r>
        <m:sSup>
          <m:e>
            <m:r>
              <m:rPr>
                <m:sty m:val="b"/>
              </m:rPr>
              <m:t>s</m:t>
            </m:r>
          </m:e>
          <m:sup>
            <m:r>
              <m:t>b</m:t>
            </m:r>
          </m:sup>
        </m:sSup>
        <m:r>
          <m:rPr>
            <m:sty m:val="p"/>
          </m:rPr>
          <m:t>,</m:t>
        </m:r>
        <m:r>
          <m:t>  </m:t>
        </m:r>
        <m:sSub>
          <m:e>
            <m:r>
              <m:rPr>
                <m:sty m:val="b"/>
              </m:rPr>
              <m:t>M</m:t>
            </m:r>
          </m:e>
          <m:sub>
            <m:sSup>
              <m:e>
                <m:r>
                  <m:rPr>
                    <m:sty m:val="b"/>
                  </m:rPr>
                  <m:t>Z</m:t>
                </m:r>
              </m:e>
              <m:sup>
                <m:r>
                  <m:rPr>
                    <m:sty m:val="p"/>
                  </m:rPr>
                  <m:t>c</m:t>
                </m:r>
              </m:sup>
            </m:sSup>
          </m:sub>
        </m:sSub>
        <m:r>
          <m:rPr>
            <m:sty m:val="p"/>
          </m:rPr>
          <m:t>log</m:t>
        </m:r>
        <m:sSup>
          <m:e>
            <m:r>
              <m:rPr>
                <m:sty m:val="b"/>
              </m:rPr>
              <m:t>r</m:t>
            </m:r>
          </m:e>
          <m:sup>
            <m:r>
              <m:t>w</m:t>
            </m:r>
            <m:r>
              <m:rPr>
                <m:sty m:val="p"/>
              </m:rPr>
              <m:t>,</m:t>
            </m:r>
            <m:r>
              <m:rPr>
                <m:sty m:val="p"/>
              </m:rPr>
              <m:t>c</m:t>
            </m:r>
          </m:sup>
        </m:sSup>
        <m:r>
          <m:rPr>
            <m:sty m:val="p"/>
          </m:rPr>
          <m:t>=</m:t>
        </m:r>
        <m:sSub>
          <m:e>
            <m:r>
              <m:rPr>
                <m:sty m:val="b"/>
              </m:rPr>
              <m:t>M</m:t>
            </m:r>
          </m:e>
          <m:sub>
            <m:sSup>
              <m:e>
                <m:r>
                  <m:rPr>
                    <m:sty m:val="b"/>
                  </m:rPr>
                  <m:t>Z</m:t>
                </m:r>
              </m:e>
              <m:sup>
                <m:r>
                  <m:rPr>
                    <m:sty m:val="p"/>
                  </m:rPr>
                  <m:t>c</m:t>
                </m:r>
              </m:sup>
            </m:sSup>
          </m:sub>
        </m:sSub>
        <m:r>
          <m:rPr>
            <m:sty m:val="p"/>
          </m:rPr>
          <m:t>log</m:t>
        </m:r>
        <m:sSup>
          <m:e>
            <m:r>
              <m:rPr>
                <m:sty m:val="b"/>
              </m:rPr>
              <m:t>s</m:t>
            </m:r>
          </m:e>
          <m:sup>
            <m:r>
              <m:t>w</m:t>
            </m:r>
          </m:sup>
        </m:sSup>
        <m:r>
          <m:rPr>
            <m:sty m:val="p"/>
          </m:rPr>
          <m:t>.</m:t>
        </m:r>
      </m:oMath>
      <w:r>
        <w:rPr>
          <w:rFonts w:ascii="Times New Roman" w:hAnsi="Times New Roman" w:cs="Times New Roman"/>
          <w:sz w:val="23"/>
        </w:rPr>
        <w:tab/>
        <w:t>(S3)</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The completed calculation yields maximum residual discrepancies of approximately</w:t>
      </w:r>
      <w:r>
        <w:rPr>
          <w:rFonts w:ascii="Times New Roman" w:hAnsi="Times New Roman" w:cs="Times New Roman"/>
          <w:sz w:val="23"/>
        </w:rPr>
        <w:t xml:space="preserve"> </w:t>
      </w:r>
      <m:oMath>
        <m:r>
          <m:t>7.47</m:t>
        </m:r>
        <m:r>
          <m:rPr>
            <m:sty m:val="p"/>
          </m:rPr>
          <m:t>×</m:t>
        </m:r>
        <m:sSup>
          <m:e>
            <m:r>
              <m:t>10</m:t>
            </m:r>
          </m:e>
          <m:sup>
            <m:r>
              <m:rPr>
                <m:sty m:val="p"/>
              </m:rPr>
              <m:t>−</m:t>
            </m:r>
            <m:r>
              <m:t>15</m:t>
            </m:r>
          </m:sup>
        </m:sSup>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r>
          <m:t>7.09</m:t>
        </m:r>
        <m:r>
          <m:rPr>
            <m:sty m:val="p"/>
          </m:rPr>
          <m:t>×</m:t>
        </m:r>
        <m:sSup>
          <m:e>
            <m:r>
              <m:t>10</m:t>
            </m:r>
          </m:e>
          <m:sup>
            <m:r>
              <m:rPr>
                <m:sty m:val="p"/>
              </m:rPr>
              <m:t>−</m:t>
            </m:r>
            <m:r>
              <m:t>15</m:t>
            </m:r>
          </m:sup>
        </m:sSup>
      </m:oMath>
      <w:r>
        <w:rPr>
          <w:rFonts w:ascii="Times New Roman" w:hAnsi="Times New Roman" w:cs="Times New Roman"/>
          <w:sz w:val="23"/>
        </w:rPr>
        <w:t xml:space="preserve">. These are algebraic and implementation checks, not another economic finding. They do not supply an independently observed total award</w:t>
      </w:r>
      <w:r>
        <w:rPr>
          <w:rFonts w:ascii="Times New Roman" w:hAnsi="Times New Roman" w:cs="Times New Roman"/>
          <w:sz w:val="23"/>
        </w:rPr>
        <w:t xml:space="preserve"> </w:t>
      </w:r>
      <m:oMath>
        <m:r>
          <m:t>W</m:t>
        </m:r>
      </m:oMath>
      <w:r>
        <w:rPr>
          <w:rFonts w:ascii="Times New Roman" w:hAnsi="Times New Roman" w:cs="Times New Roman"/>
          <w:sz w:val="23"/>
        </w:rPr>
        <w:t xml:space="preserve"> </w:t>
      </w:r>
      <w:r>
        <w:rPr>
          <w:rFonts w:ascii="Times New Roman" w:hAnsi="Times New Roman" w:cs="Times New Roman"/>
          <w:sz w:val="23"/>
        </w:rPr>
        <w:t xml:space="preserve">or authenticate</w:t>
      </w:r>
      <w:r>
        <w:rPr>
          <w:rFonts w:ascii="Times New Roman" w:hAnsi="Times New Roman" w:cs="Times New Roman"/>
          <w:sz w:val="23"/>
        </w:rPr>
        <w:t xml:space="preserve"> </w:t>
      </w:r>
      <m:oMath>
        <m:r>
          <m:t>V</m:t>
        </m:r>
        <m:r>
          <m:rPr>
            <m:sty m:val="p"/>
          </m:rPr>
          <m:t>=</m:t>
        </m:r>
        <m:r>
          <m:t>W</m:t>
        </m:r>
      </m:oMath>
      <w:r>
        <w:rPr>
          <w:rFonts w:ascii="Times New Roman" w:hAnsi="Times New Roman" w:cs="Times New Roman"/>
          <w:sz w:val="23"/>
        </w:rPr>
        <w:t xml:space="preserve">.</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With the original reported rather than constructed values, mean discrepancies relative to</w:t>
      </w:r>
      <w:r>
        <w:rPr>
          <w:rFonts w:ascii="Times New Roman" w:hAnsi="Times New Roman" w:cs="Times New Roman"/>
          <w:sz w:val="23"/>
        </w:rPr>
        <w:t xml:space="preserve"> </w:t>
      </w:r>
      <m:oMath>
        <m:r>
          <m:t>B</m:t>
        </m:r>
        <m:r>
          <m:rPr>
            <m:sty m:val="p"/>
          </m:rPr>
          <m:t>/</m:t>
        </m:r>
        <m:r>
          <m:t>N</m:t>
        </m:r>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r>
          <m:t>V</m:t>
        </m:r>
        <m:r>
          <m:rPr>
            <m:sty m:val="p"/>
          </m:rPr>
          <m:t>/</m:t>
        </m:r>
        <m:r>
          <m:t>S</m:t>
        </m:r>
      </m:oMath>
      <w:r>
        <w:rPr>
          <w:rFonts w:ascii="Times New Roman" w:hAnsi="Times New Roman" w:cs="Times New Roman"/>
          <w:sz w:val="23"/>
        </w:rPr>
        <w:t xml:space="preserve"> </w:t>
      </w:r>
      <w:r>
        <w:rPr>
          <w:rFonts w:ascii="Times New Roman" w:hAnsi="Times New Roman" w:cs="Times New Roman"/>
          <w:sz w:val="23"/>
        </w:rPr>
        <w:t xml:space="preserve">reach 0.5 quantity units, while the cover-ratio discrepancy relative to</w:t>
      </w:r>
      <w:r>
        <w:rPr>
          <w:rFonts w:ascii="Times New Roman" w:hAnsi="Times New Roman" w:cs="Times New Roman"/>
          <w:sz w:val="23"/>
        </w:rPr>
        <w:t xml:space="preserve"> </w:t>
      </w:r>
      <m:oMath>
        <m:r>
          <m:t>B</m:t>
        </m:r>
        <m:r>
          <m:rPr>
            <m:sty m:val="p"/>
          </m:rPr>
          <m:t>/</m:t>
        </m:r>
        <m:r>
          <m:t>V</m:t>
        </m:r>
      </m:oMath>
      <w:r>
        <w:rPr>
          <w:rFonts w:ascii="Times New Roman" w:hAnsi="Times New Roman" w:cs="Times New Roman"/>
          <w:sz w:val="23"/>
        </w:rPr>
        <w:t xml:space="preserve"> </w:t>
      </w:r>
      <w:r>
        <w:rPr>
          <w:rFonts w:ascii="Times New Roman" w:hAnsi="Times New Roman" w:cs="Times New Roman"/>
          <w:sz w:val="23"/>
        </w:rPr>
        <w:t xml:space="preserve">reaches approximately 0.004994. Agreement with display precision is not certification of the historical rounding rule. The main regressions use the reported fields; neither implied means nor implied cover ratios silently replace them. The corresponding log-one-plus terms do not satisfy the additive log identities.</w:t>
      </w:r>
    </w:p>
    <w:p>
      <w:pPr>
        <w:pStyle w:val="BodyText"/>
        <w:keepNext/>
        <w:pageBreakBefore w:val="0"/>
        <w:widowControl/>
        <w:spacing w:line="269" w:lineRule="auto" w:before="0" w:after="120"/>
        <w:ind w:left="0" w:right="0" w:firstLine="0"/>
      </w:pPr>
      <w:r>
        <w:rPr>
          <w:rFonts w:ascii="Times New Roman" w:hAnsi="Times New Roman" w:cs="Times New Roman"/>
          <w:sz w:val="23"/>
        </w:rPr>
        <w:t xml:space="preserve">A related interpretation boundary concerns concentration. If</w:t>
      </w:r>
      <w:r>
        <w:rPr>
          <w:rFonts w:ascii="Times New Roman" w:hAnsi="Times New Roman" w:cs="Times New Roman"/>
          <w:sz w:val="23"/>
        </w:rPr>
        <w:t xml:space="preserve"> </w:t>
      </w:r>
      <m:oMath>
        <m:r>
          <m:t>m</m:t>
        </m:r>
      </m:oMath>
      <w:r>
        <w:rPr>
          <w:rFonts w:ascii="Times New Roman" w:hAnsi="Times New Roman" w:cs="Times New Roman"/>
          <w:sz w:val="23"/>
        </w:rPr>
        <w:t xml:space="preserve"> </w:t>
      </w:r>
      <w:r>
        <w:rPr>
          <w:rFonts w:ascii="Times New Roman" w:hAnsi="Times New Roman" w:cs="Times New Roman"/>
          <w:sz w:val="23"/>
        </w:rPr>
        <w:t xml:space="preserve">quantities genuinely form one population with common mean</w:t>
      </w:r>
      <w:r>
        <w:rPr>
          <w:rFonts w:ascii="Times New Roman" w:hAnsi="Times New Roman" w:cs="Times New Roman"/>
          <w:sz w:val="23"/>
        </w:rPr>
        <w:t xml:space="preserve"> </w:t>
      </w:r>
      <m:oMath>
        <m:r>
          <m:t>μ</m:t>
        </m:r>
      </m:oMath>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m:oMath>
        <m:sSup>
          <m:e>
            <m:r>
              <m:t>s</m:t>
            </m:r>
          </m:e>
          <m:sup>
            <m:r>
              <m:t>2</m:t>
            </m:r>
          </m:sup>
        </m:sSup>
        <m:r>
          <m:rPr>
            <m:sty m:val="p"/>
          </m:rPr>
          <m:t>=</m:t>
        </m:r>
        <m:nary>
          <m:naryPr>
            <m:chr m:val="∑"/>
            <m:limLoc m:val="undOvr"/>
            <m:subHide m:val="off"/>
            <m:supHide m:val="on"/>
          </m:naryPr>
          <m:sub>
            <m:r>
              <m:t>i</m:t>
            </m:r>
          </m:sub>
          <m:sup>
            <m:r>
              <m:t>​</m:t>
            </m:r>
          </m:sup>
          <m:e>
            <m:sSup>
              <m:e>
                <m:d>
                  <m:dPr>
                    <m:begChr m:val="("/>
                    <m:endChr m:val=")"/>
                    <m:sepChr m:val=""/>
                    <m:grow/>
                  </m:dPr>
                  <m:e>
                    <m:sSub>
                      <m:e>
                        <m:r>
                          <m:t>q</m:t>
                        </m:r>
                      </m:e>
                      <m:sub>
                        <m:r>
                          <m:t>i</m:t>
                        </m:r>
                      </m:sub>
                    </m:sSub>
                    <m:r>
                      <m:rPr>
                        <m:sty m:val="p"/>
                      </m:rPr>
                      <m:t>−</m:t>
                    </m:r>
                    <m:r>
                      <m:t>μ</m:t>
                    </m:r>
                  </m:e>
                </m:d>
              </m:e>
              <m:sup>
                <m:r>
                  <m:t>2</m:t>
                </m:r>
              </m:sup>
            </m:sSup>
          </m:e>
        </m:nary>
        <m:r>
          <m:rPr>
            <m:sty m:val="p"/>
          </m:rPr>
          <m:t>/</m:t>
        </m:r>
        <m:d>
          <m:dPr>
            <m:begChr m:val="("/>
            <m:endChr m:val=")"/>
            <m:sepChr m:val=""/>
            <m:grow/>
          </m:dPr>
          <m:e>
            <m:r>
              <m:t>m</m:t>
            </m:r>
            <m:r>
              <m:rPr>
                <m:sty m:val="p"/>
              </m:rPr>
              <m:t>−</m:t>
            </m:r>
            <m:r>
              <m:t>d</m:t>
            </m:r>
          </m:e>
        </m:d>
      </m:oMath>
      <w:r>
        <w:rPr>
          <w:rFonts w:ascii="Times New Roman" w:hAnsi="Times New Roman" w:cs="Times New Roman"/>
          <w:sz w:val="23"/>
        </w:rPr>
        <w:t xml:space="preserve">, then its single-auction quantity-share concentration is</w:t>
      </w:r>
    </w:p>
    <w:p>
      <w:pPr>
        <w:pStyle w:val="BodyText"/>
        <w:keepNext w:val="0"/>
        <w:keepLines/>
        <w:pageBreakBefore w:val="0"/>
        <w:widowControl/>
        <w:spacing w:before="140" w:after="180"/>
        <w:jc w:val="left"/>
        <w:tabs>
          <w:tab w:pos="4900" w:val="center"/>
          <w:tab w:pos="9865" w:val="right"/>
        </w:tabs>
      </w:pPr>
      <w:r>
        <w:rPr>
          <w:rFonts w:ascii="Times New Roman" w:hAnsi="Times New Roman" w:cs="Times New Roman"/>
          <w:sz w:val="23"/>
        </w:rPr>
        <w:tab/>
      </w:r>
      <m:oMath>
        <m:r>
          <m:t>H</m:t>
        </m:r>
        <m:r>
          <m:rPr>
            <m:sty m:val="p"/>
          </m:rPr>
          <m:t>=</m:t>
        </m:r>
        <m:f>
          <m:fPr>
            <m:type m:val="bar"/>
          </m:fPr>
          <m:num>
            <m:r>
              <m:t>1</m:t>
            </m:r>
          </m:num>
          <m:den>
            <m:r>
              <m:t>m</m:t>
            </m:r>
          </m:den>
        </m:f>
        <m:r>
          <m:rPr>
            <m:sty m:val="p"/>
          </m:rPr>
          <m:t>+</m:t>
        </m:r>
        <m:f>
          <m:fPr>
            <m:type m:val="bar"/>
          </m:fPr>
          <m:num>
            <m:r>
              <m:t>m</m:t>
            </m:r>
            <m:r>
              <m:rPr>
                <m:sty m:val="p"/>
              </m:rPr>
              <m:t>−</m:t>
            </m:r>
            <m:r>
              <m:t>d</m:t>
            </m:r>
          </m:num>
          <m:den>
            <m:sSup>
              <m:e>
                <m:r>
                  <m:t>m</m:t>
                </m:r>
              </m:e>
              <m:sup>
                <m:r>
                  <m:t>2</m:t>
                </m:r>
              </m:sup>
            </m:sSup>
          </m:den>
        </m:f>
        <m:sSup>
          <m:e>
            <m:d>
              <m:dPr>
                <m:begChr m:val="("/>
                <m:endChr m:val=")"/>
                <m:sepChr m:val=""/>
                <m:grow/>
              </m:dPr>
              <m:e>
                <m:f>
                  <m:fPr>
                    <m:type m:val="bar"/>
                  </m:fPr>
                  <m:num>
                    <m:r>
                      <m:t>s</m:t>
                    </m:r>
                  </m:num>
                  <m:den>
                    <m:r>
                      <m:t>μ</m:t>
                    </m:r>
                  </m:den>
                </m:f>
              </m:e>
            </m:d>
          </m:e>
          <m:sup>
            <m:r>
              <m:t>2</m:t>
            </m:r>
          </m:sup>
        </m:sSup>
        <m:r>
          <m:rPr>
            <m:sty m:val="p"/>
          </m:rPr>
          <m:t>.</m:t>
        </m:r>
      </m:oMath>
      <w:r>
        <w:rPr>
          <w:rFonts w:ascii="Times New Roman" w:hAnsi="Times New Roman" w:cs="Times New Roman"/>
          <w:sz w:val="23"/>
        </w:rPr>
        <w:tab/>
        <w:t>(S4)</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This conditional moment identity is standard algebra. It does not justify substituting</w:t>
      </w:r>
      <w:r>
        <w:rPr>
          <w:rFonts w:ascii="Times New Roman" w:hAnsi="Times New Roman" w:cs="Times New Roman"/>
          <w:sz w:val="23"/>
        </w:rPr>
        <w:t xml:space="preserve"> </w:t>
      </w:r>
      <m:oMath>
        <m:r>
          <m:t>N</m:t>
        </m:r>
      </m:oMath>
      <w:r>
        <w:rPr>
          <w:rFonts w:ascii="Times New Roman" w:hAnsi="Times New Roman" w:cs="Times New Roman"/>
          <w:sz w:val="23"/>
        </w:rPr>
        <w:t xml:space="preserve"> </w:t>
      </w:r>
      <w:r>
        <w:rPr>
          <w:rFonts w:ascii="Times New Roman" w:hAnsi="Times New Roman" w:cs="Times New Roman"/>
          <w:sz w:val="23"/>
        </w:rPr>
        <w:t xml:space="preserve">or</w:t>
      </w:r>
      <w:r>
        <w:rPr>
          <w:rFonts w:ascii="Times New Roman" w:hAnsi="Times New Roman" w:cs="Times New Roman"/>
          <w:sz w:val="23"/>
        </w:rPr>
        <w:t xml:space="preserve"> </w:t>
      </w:r>
      <m:oMath>
        <m:r>
          <m:t>S</m:t>
        </m:r>
      </m:oMath>
      <w:r>
        <w:rPr>
          <w:rFonts w:ascii="Times New Roman" w:hAnsi="Times New Roman" w:cs="Times New Roman"/>
          <w:sz w:val="23"/>
        </w:rPr>
        <w:t xml:space="preserve"> </w:t>
      </w:r>
      <w:r>
        <w:rPr>
          <w:rFonts w:ascii="Times New Roman" w:hAnsi="Times New Roman" w:cs="Times New Roman"/>
          <w:sz w:val="23"/>
        </w:rPr>
        <w:t xml:space="preserve">when the standard-deviation population is unknown. Cross-auction concentration additionally requires identity links across auctions. The current study neither computes a certified bidder-population concentration index nor infers matched-population compression from its cross-auction regression.</w:t>
      </w:r>
    </w:p>
    <w:p>
      <w:pPr>
        <w:pStyle w:val="Heading2"/>
        <w:pageBreakBefore w:val="0"/>
        <w:widowControl/>
        <w:ind w:left="0" w:right="0" w:firstLine="0"/>
      </w:pPr>
      <w:r>
        <w:rPr>
          <w:rFonts w:ascii="Times New Roman" w:hAnsi="Times New Roman" w:cs="Times New Roman"/>
          <w:sz w:val="23"/>
        </w:rPr>
        <w:t xml:space="preserve">S6 Exploration record and author responsibilities</w:t>
      </w:r>
    </w:p>
    <w:p>
      <w:pPr>
        <w:pStyle w:val="BodyText"/>
        <w:keepNext w:val="0"/>
        <w:keepLines/>
        <w:pageBreakBefore w:val="0"/>
        <w:widowControl/>
        <w:spacing w:line="269" w:lineRule="auto" w:before="0" w:after="120"/>
        <w:ind w:left="0" w:right="0" w:firstLine="0"/>
      </w:pPr>
      <w:r>
        <w:rPr>
          <w:rFonts w:ascii="Times New Roman" w:hAnsi="Times New Roman" w:cs="Times New Roman"/>
          <w:sz w:val="23"/>
        </w:rPr>
        <w:t xml:space="preserve">The snapshot, target and some results were inspected before the supplementary protocols were fixed. The first-freeze record is partial. The manuscripts and intervals cannot therefore be described as preregistered, selection-adjusted or based on an untouched test sample. The principal and robustness outputs are frozen for the current revision; no result was recomputed to make the text more favourable.</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An earlier supplementary protocol proposed 0.10 as an exploratory reference for the absolute standardized association. It was introduced after earlier results were known and is not an economic-cost or journal threshold. It is not used as a decision boundary in the article’s figures or as proof of publication value. This presentation change leaves the numerical record unchanged.</w:t>
      </w:r>
    </w:p>
    <w:p>
      <w:pPr>
        <w:pStyle w:val="BodyText"/>
        <w:keepNext w:val="0"/>
        <w:pageBreakBefore w:val="0"/>
        <w:widowControl/>
        <w:spacing w:line="269" w:lineRule="auto" w:before="0" w:after="120"/>
        <w:ind w:left="0" w:right="0" w:firstLine="0"/>
      </w:pPr>
      <w:r>
        <w:rPr>
          <w:rFonts w:ascii="Times New Roman" w:hAnsi="Times New Roman" w:cs="Times New Roman"/>
          <w:sz w:val="23"/>
        </w:rPr>
        <w:t>Independent numerical implementations use the same archives and are not independent-market replications. Computation counts are distinct from sample sizes. Zhongfei Tian prepared and revised the manuscript; Xiang Wang critically reviewed and checked it and was responsible for final-version approval. The research received no financial support. Generative AI assistance is disclosed in the main methods; the authors retain responsibility for the research and its presentation.</w:t>
      </w:r>
    </w:p>
    <w:p>
      <w:pPr>
        <w:pStyle w:val="Heading2"/>
        <w:pageBreakBefore w:val="0"/>
        <w:widowControl/>
        <w:ind w:left="0" w:right="0" w:firstLine="0"/>
      </w:pPr>
      <w:r>
        <w:rPr>
          <w:rFonts w:ascii="Times New Roman" w:hAnsi="Times New Roman" w:cs="Times New Roman"/>
          <w:sz w:val="23"/>
        </w:rPr>
        <w:t xml:space="preserve">S7 Interpretation of the fitted quantities</w:t>
      </w:r>
    </w:p>
    <w:p>
      <w:pPr>
        <w:pStyle w:val="BodyText"/>
        <w:keepNext w:val="0"/>
        <w:keepLines/>
        <w:pageBreakBefore w:val="0"/>
        <w:widowControl/>
        <w:spacing w:line="269" w:lineRule="auto" w:before="0" w:after="120"/>
        <w:ind w:left="0" w:right="0" w:firstLine="0"/>
      </w:pPr>
      <w:r>
        <w:rPr>
          <w:rFonts w:ascii="Times New Roman" w:hAnsi="Times New Roman" w:cs="Times New Roman"/>
          <w:sz w:val="23"/>
        </w:rPr>
        <w:t xml:space="preserve">The quantity coefficients, intervals and contrasts come from the frozen quantity outputs. Residual correlation is a symmetric in-sample statistic; the chosen direction of the regression is not evidence of temporal transmission. With one added regressor and identical residualization, partial</w:t>
      </w:r>
      <w:r>
        <w:rPr>
          <w:rFonts w:ascii="Times New Roman" w:hAnsi="Times New Roman" w:cs="Times New Roman"/>
          <w:sz w:val="23"/>
        </w:rPr>
        <w:t xml:space="preserve"> </w:t>
      </w:r>
      <m:oMath>
        <m:sSup>
          <m:e>
            <m:r>
              <m:t>R</m:t>
            </m:r>
          </m:e>
          <m:sup>
            <m:r>
              <m:t>2</m:t>
            </m:r>
          </m:sup>
        </m:sSup>
      </m:oMath>
      <w:r>
        <w:rPr>
          <w:rFonts w:ascii="Times New Roman" w:hAnsi="Times New Roman" w:cs="Times New Roman"/>
          <w:sz w:val="23"/>
        </w:rPr>
        <w:t xml:space="preserve"> </w:t>
      </w:r>
      <w:r>
        <w:rPr>
          <w:rFonts w:ascii="Times New Roman" w:hAnsi="Times New Roman" w:cs="Times New Roman"/>
          <w:sz w:val="23"/>
        </w:rPr>
        <w:t xml:space="preserve">equals the square of the residual correlation. These two numbers are not independent confirmations.</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The reported fitted contrasts across the interquartile range of residualized bid dispersion remain on their respective transformed-response scales. No back-transformed conditional arithmetic mean, representative bidder outcome or monetary benefit is inferred from them. Subperiod slopes and correlations use separately estimated nuisance coefficients and residual variances. Their difference is a descriptive historical comparison, not a structural invariance test robust to arbitrary changes in reporting or covariate distributions.</w:t>
      </w:r>
    </w:p>
    <w:p>
      <w:pPr>
        <w:pStyle w:val="Heading2"/>
        <w:pageBreakBefore w:val="0"/>
        <w:widowControl/>
        <w:ind w:left="0" w:right="0" w:firstLine="0"/>
      </w:pPr>
      <w:r>
        <w:rPr>
          <w:rFonts w:ascii="Times New Roman" w:hAnsi="Times New Roman" w:cs="Times New Roman"/>
          <w:sz w:val="23"/>
        </w:rPr>
        <w:t xml:space="preserve">S8 Descriptive context and direct correlation contrasts added to the presentation</w:t>
      </w:r>
    </w:p>
    <w:p>
      <w:pPr>
        <w:pStyle w:val="Caption"/>
        <w:keepNext/>
        <w:keepLines/>
        <w:pageBreakBefore w:val="0"/>
        <w:widowControl/>
        <w:spacing w:after="80"/>
        <w:ind w:left="0" w:right="0" w:firstLine="0"/>
      </w:pPr>
      <w:r>
        <w:rPr>
          <w:rFonts w:ascii="Times New Roman" w:hAnsi="Times New Roman" w:cs="Times New Roman"/>
          <w:b/>
          <w:bCs/>
          <w:sz w:val="21"/>
        </w:rPr>
        <w:t xml:space="preserve">Table S5 Descriptive statistics by historical period</w:t>
      </w:r>
    </w:p>
    <w:p>
      <w:pPr>
        <w:pStyle w:val="BodyText"/>
        <w:keepNext/>
        <w:pageBreakBefore w:val="0"/>
        <w:widowControl/>
        <w:spacing w:after="60"/>
        <w:ind w:left="0" w:right="0" w:firstLine="0"/>
      </w:pPr>
      <w:r>
        <w:rPr>
          <w:rFonts w:ascii="Times New Roman" w:hAnsi="Times New Roman" w:cs="Times New Roman"/>
          <w:b/>
          <w:i/>
          <w:iCs/>
          <w:sz w:val="23"/>
        </w:rPr>
        <w:t xml:space="preserve">Panel A: 2020–2022, </w:t>
      </w:r>
      <w:r>
        <w:rPr>
          <w:rFonts w:ascii="Times New Roman" w:hAnsi="Times New Roman" w:cs="Times New Roman"/>
          <w:b/>
          <w:i w:val="1"/>
          <w:iCs/>
          <w:sz w:val="23"/>
        </w:rPr>
        <w:t xml:space="preserve">n</w:t>
      </w:r>
      <w:r>
        <w:rPr>
          <w:rFonts w:ascii="Times New Roman" w:hAnsi="Times New Roman" w:cs="Times New Roman"/>
          <w:b/>
          <w:i/>
          <w:iCs/>
          <w:sz w:val="23"/>
        </w:rPr>
        <w:t xml:space="preserve"> = 643</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646"/>
        <w:gridCol w:w="1203"/>
        <w:gridCol w:w="1203"/>
        <w:gridCol w:w="1203"/>
        <w:gridCol w:w="1203"/>
        <w:gridCol w:w="1203"/>
        <w:gridCol w:w="1203"/>
      </w:tblGrid>
      <w:tr>
        <w:trPr>
          <w:tblHeader w:val="on"/>
          <w:cantSplit/>
          <w:tblHeader/>
        </w:trPr>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Variable</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Mean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Q1</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Median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Q3</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Min.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Max.</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Bid ratio</w:t>
            </w:r>
            <w:r>
              <w:rPr>
                <w:rFonts w:ascii="Times New Roman" w:hAnsi="Times New Roman" w:cs="Times New Roman"/>
                <w:b w:val="0"/>
                <w:sz w:val="20"/>
              </w:rPr>
              <w:t xml:space="preserve"> </w:t>
            </w:r>
            <m:oMath>
              <m:sSup>
                <m:e>
                  <m:r>
                    <m:t>r</m:t>
                  </m:r>
                </m:e>
                <m:sup>
                  <m:r>
                    <m:t>b</m:t>
                  </m:r>
                </m:sup>
              </m:sSup>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1.532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1.345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1.520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1.712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0.874</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2.622</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Award ratio</w:t>
            </w:r>
            <w:r>
              <w:rPr>
                <w:rFonts w:ascii="Times New Roman" w:hAnsi="Times New Roman" w:cs="Times New Roman"/>
                <w:b w:val="0"/>
                <w:sz w:val="20"/>
              </w:rPr>
              <w:t xml:space="preserve"> </w:t>
            </w:r>
            <m:oMath>
              <m:sSup>
                <m:e>
                  <m:r>
                    <m:t>r</m:t>
                  </m:r>
                </m:e>
                <m:sup>
                  <m:r>
                    <m:t>w</m:t>
                  </m:r>
                </m:sup>
              </m:sSup>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1.459</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1.247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1.443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1.629</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0.443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2.707</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Cover ratio</w:t>
            </w:r>
            <w:r>
              <w:rPr>
                <w:rFonts w:ascii="Times New Roman" w:hAnsi="Times New Roman" w:cs="Times New Roman"/>
                <w:b w:val="0"/>
                <w:sz w:val="20"/>
              </w:rPr>
              <w:t xml:space="preserve"> </w:t>
            </w:r>
            <m:oMath>
              <m:r>
                <m:t>R</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1.864</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1.530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1.790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2.100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1.010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3.770</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Auction volume</w:t>
            </w:r>
            <w:r>
              <w:rPr>
                <w:rFonts w:ascii="Times New Roman" w:hAnsi="Times New Roman" w:cs="Times New Roman"/>
                <w:b w:val="0"/>
                <w:sz w:val="20"/>
              </w:rPr>
              <w:t xml:space="preserve"> </w:t>
            </w:r>
            <m:oMath>
              <m:r>
                <m:t>V</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2.692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2.363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2.515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3.082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0.972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6.399</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Submitted volume</w:t>
            </w:r>
            <w:r>
              <w:rPr>
                <w:rFonts w:ascii="Times New Roman" w:hAnsi="Times New Roman" w:cs="Times New Roman"/>
                <w:b w:val="0"/>
                <w:sz w:val="20"/>
              </w:rPr>
              <w:t xml:space="preserve"> </w:t>
            </w:r>
            <m:oMath>
              <m:r>
                <m:t>B</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4.844</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3.887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4.761</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5.588</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1.937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12.899</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Total bidders</w:t>
            </w:r>
            <w:r>
              <w:rPr>
                <w:rFonts w:ascii="Times New Roman" w:hAnsi="Times New Roman" w:cs="Times New Roman"/>
                <w:b w:val="0"/>
                <w:sz w:val="20"/>
              </w:rPr>
              <w:t xml:space="preserve"> </w:t>
            </w:r>
            <m:oMath>
              <m:r>
                <m:t>N</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22.379</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31</w:t>
            </w:r>
          </w:p>
        </w:tc>
      </w:tr>
      <w:tr>
        <w:trPr>
          <w:cantSplit/>
        </w:trPr>
        <w:tc>
          <w:tcPr>
            <w:tcW w:type="dxa" w:w="2646"/>
            <w:vAlign w:val="center"/>
            <w:tcMar>
              <w:top w:w="65" w:type="dxa"/>
              <w:bottom w:w="65" w:type="dxa"/>
              <w:left w:w="70" w:type="dxa"/>
              <w:right w:w="70" w:type="dxa"/>
            </w:tcMar>
          </w:tcPr>
          <w:p>
            <w:pPr>
              <w:pStyle w:val="Compact"/>
              <w:keepNext w:val="0"/>
              <w:keepLines/>
              <w:spacing w:before="60" w:after="60" w:line="245" w:lineRule="auto"/>
              <w:jc w:val="left"/>
            </w:pPr>
            <w:r>
              <w:rPr>
                <w:rFonts w:ascii="Times New Roman" w:hAnsi="Times New Roman" w:cs="Times New Roman"/>
                <w:b w:val="0"/>
                <w:sz w:val="20"/>
              </w:rPr>
              <w:t xml:space="preserve">Successful bidders</w:t>
            </w:r>
            <w:r>
              <w:rPr>
                <w:rFonts w:ascii="Times New Roman" w:hAnsi="Times New Roman" w:cs="Times New Roman"/>
                <w:b w:val="0"/>
                <w:sz w:val="20"/>
              </w:rPr>
              <w:t xml:space="preserve"> </w:t>
            </w:r>
            <m:oMath>
              <m:r>
                <m:t>S</m:t>
              </m:r>
            </m:oMath>
          </w:p>
        </w:tc>
        <w:tc>
          <w:tcPr>
            <w:tcW w:type="dxa" w:w="1203"/>
            <w:vAlign w:val="center"/>
            <w:tcMar>
              <w:top w:w="65" w:type="dxa"/>
              <w:bottom w:w="65" w:type="dxa"/>
              <w:left w:w="70" w:type="dxa"/>
              <w:right w:w="70" w:type="dxa"/>
            </w:tcMar>
          </w:tcPr>
          <w:p>
            <w:pPr>
              <w:pStyle w:val="Compact"/>
              <w:keepNext w:val="0"/>
              <w:keepLines/>
              <w:spacing w:before="60" w:after="60" w:line="245" w:lineRule="auto"/>
              <w:jc w:val="right"/>
            </w:pPr>
            <w:r>
              <w:rPr>
                <w:rFonts w:ascii="Times New Roman" w:hAnsi="Times New Roman" w:cs="Times New Roman"/>
                <w:b w:val="0"/>
                <w:sz w:val="20"/>
              </w:rPr>
              <w:t xml:space="preserve">16.687</w:t>
            </w:r>
          </w:p>
        </w:tc>
        <w:tc>
          <w:tcPr>
            <w:tcW w:type="dxa" w:w="1203"/>
            <w:vAlign w:val="center"/>
            <w:tcMar>
              <w:top w:w="65" w:type="dxa"/>
              <w:bottom w:w="65" w:type="dxa"/>
              <w:left w:w="70" w:type="dxa"/>
              <w:right w:w="70" w:type="dxa"/>
            </w:tcMar>
          </w:tcPr>
          <w:p>
            <w:pPr>
              <w:pStyle w:val="Compact"/>
              <w:keepNext w:val="0"/>
              <w:keepLines/>
              <w:spacing w:before="60" w:after="60" w:line="245" w:lineRule="auto"/>
              <w:jc w:val="right"/>
            </w:pPr>
            <w:r>
              <w:rPr>
                <w:rFonts w:ascii="Times New Roman" w:hAnsi="Times New Roman" w:cs="Times New Roman"/>
                <w:b w:val="0"/>
                <w:sz w:val="20"/>
              </w:rPr>
              <w:t xml:space="preserve">14</w:t>
            </w:r>
          </w:p>
        </w:tc>
        <w:tc>
          <w:tcPr>
            <w:tcW w:type="dxa" w:w="1203"/>
            <w:vAlign w:val="center"/>
            <w:tcMar>
              <w:top w:w="65" w:type="dxa"/>
              <w:bottom w:w="65" w:type="dxa"/>
              <w:left w:w="70" w:type="dxa"/>
              <w:right w:w="70" w:type="dxa"/>
            </w:tcMar>
          </w:tcPr>
          <w:p>
            <w:pPr>
              <w:pStyle w:val="Compact"/>
              <w:keepNext w:val="0"/>
              <w:keepLines/>
              <w:spacing w:before="60" w:after="60" w:line="245" w:lineRule="auto"/>
              <w:jc w:val="right"/>
            </w:pPr>
            <w:r>
              <w:rPr>
                <w:rFonts w:ascii="Times New Roman" w:hAnsi="Times New Roman" w:cs="Times New Roman"/>
                <w:b w:val="0"/>
                <w:sz w:val="20"/>
              </w:rPr>
              <w:t xml:space="preserve">17</w:t>
            </w:r>
          </w:p>
        </w:tc>
        <w:tc>
          <w:tcPr>
            <w:tcW w:type="dxa" w:w="1203"/>
            <w:vAlign w:val="center"/>
            <w:tcMar>
              <w:top w:w="65" w:type="dxa"/>
              <w:bottom w:w="65" w:type="dxa"/>
              <w:left w:w="70" w:type="dxa"/>
              <w:right w:w="70" w:type="dxa"/>
            </w:tcMar>
          </w:tcPr>
          <w:p>
            <w:pPr>
              <w:pStyle w:val="Compact"/>
              <w:keepNext w:val="0"/>
              <w:keepLines/>
              <w:spacing w:before="60" w:after="60" w:line="245" w:lineRule="auto"/>
              <w:jc w:val="right"/>
            </w:pPr>
            <w:r>
              <w:rPr>
                <w:rFonts w:ascii="Times New Roman" w:hAnsi="Times New Roman" w:cs="Times New Roman"/>
                <w:b w:val="0"/>
                <w:sz w:val="20"/>
              </w:rPr>
              <w:t xml:space="preserve">20</w:t>
            </w:r>
          </w:p>
        </w:tc>
        <w:tc>
          <w:tcPr>
            <w:tcW w:type="dxa" w:w="1203"/>
            <w:vAlign w:val="center"/>
            <w:tcMar>
              <w:top w:w="65" w:type="dxa"/>
              <w:bottom w:w="65" w:type="dxa"/>
              <w:left w:w="70" w:type="dxa"/>
              <w:right w:w="70" w:type="dxa"/>
            </w:tcMar>
          </w:tcPr>
          <w:p>
            <w:pPr>
              <w:pStyle w:val="Compact"/>
              <w:keepNext w:val="0"/>
              <w:keepLines/>
              <w:spacing w:before="60" w:after="60" w:line="245" w:lineRule="auto"/>
              <w:jc w:val="right"/>
            </w:pPr>
            <w:r>
              <w:rPr>
                <w:rFonts w:ascii="Times New Roman" w:hAnsi="Times New Roman" w:cs="Times New Roman"/>
                <w:b w:val="0"/>
                <w:sz w:val="20"/>
              </w:rPr>
              <w:t xml:space="preserve">3</w:t>
            </w:r>
          </w:p>
        </w:tc>
        <w:tc>
          <w:tcPr>
            <w:tcW w:type="dxa" w:w="1203"/>
            <w:vAlign w:val="center"/>
            <w:tcMar>
              <w:top w:w="65" w:type="dxa"/>
              <w:bottom w:w="65" w:type="dxa"/>
              <w:left w:w="70" w:type="dxa"/>
              <w:right w:w="70" w:type="dxa"/>
            </w:tcMar>
          </w:tcPr>
          <w:p>
            <w:pPr>
              <w:pStyle w:val="Compact"/>
              <w:keepNext w:val="0"/>
              <w:keepLines/>
              <w:spacing w:before="60" w:after="60" w:line="245" w:lineRule="auto"/>
              <w:jc w:val="right"/>
            </w:pPr>
            <w:r>
              <w:rPr>
                <w:rFonts w:ascii="Times New Roman" w:hAnsi="Times New Roman" w:cs="Times New Roman"/>
                <w:b w:val="0"/>
                <w:sz w:val="20"/>
              </w:rPr>
              <w:t xml:space="preserve">27</w:t>
            </w:r>
          </w:p>
        </w:tc>
      </w:tr>
    </w:tbl>
    <w:p>
      <w:pPr>
        <w:pStyle w:val="BodyText"/>
        <w:keepNext/>
        <w:pageBreakBefore w:val="0"/>
        <w:widowControl/>
        <w:spacing w:after="60"/>
        <w:ind w:left="0" w:right="0" w:firstLine="0"/>
      </w:pPr>
      <w:r>
        <w:rPr>
          <w:rFonts w:ascii="Times New Roman" w:hAnsi="Times New Roman" w:cs="Times New Roman"/>
          <w:b/>
          <w:i/>
          <w:iCs/>
          <w:sz w:val="23"/>
        </w:rPr>
        <w:t xml:space="preserve">Panel B: 2023–2025, </w:t>
      </w:r>
      <w:r>
        <w:rPr>
          <w:rFonts w:ascii="Times New Roman" w:hAnsi="Times New Roman" w:cs="Times New Roman"/>
          <w:b/>
          <w:i w:val="1"/>
          <w:iCs/>
          <w:sz w:val="23"/>
        </w:rPr>
        <w:t xml:space="preserve">n</w:t>
      </w:r>
      <w:r>
        <w:rPr>
          <w:rFonts w:ascii="Times New Roman" w:hAnsi="Times New Roman" w:cs="Times New Roman"/>
          <w:b/>
          <w:i/>
          <w:iCs/>
          <w:sz w:val="23"/>
        </w:rPr>
        <w:t xml:space="preserve"> = 638</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2646"/>
        <w:gridCol w:w="1203"/>
        <w:gridCol w:w="1203"/>
        <w:gridCol w:w="1203"/>
        <w:gridCol w:w="1203"/>
        <w:gridCol w:w="1203"/>
        <w:gridCol w:w="1203"/>
      </w:tblGrid>
      <w:tr>
        <w:trPr>
          <w:tblHeader w:val="on"/>
          <w:cantSplit/>
          <w:tblHeader/>
        </w:trPr>
        <w:tc>
          <w:tcPr>
            <w:tcW w:type="dxa" w:w="2646"/>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Variable</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Mean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Q1</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Median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Q3</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Min.</w:t>
            </w:r>
          </w:p>
        </w:tc>
        <w:tc>
          <w:tcPr>
            <w:tcW w:type="dxa" w:w="1203"/>
            <w:vAlign w:val="center"/>
            <w:tcMar>
              <w:top w:w="65" w:type="dxa"/>
              <w:bottom w:w="65" w:type="dxa"/>
              <w:left w:w="70" w:type="dxa"/>
              <w:right w:w="70" w:type="dxa"/>
            </w:tcMar>
            <w:tcBorders>
              <w:bottom w:val="single" w:sz="4"/>
            </w:tcBorders>
          </w:tcPr>
          <w:p>
            <w:pPr>
              <w:pStyle w:val="Compact"/>
              <w:keepNext/>
              <w:keepLines/>
              <w:spacing w:before="60" w:after="60" w:line="245" w:lineRule="auto"/>
              <w:jc w:val="right"/>
            </w:pPr>
            <w:r>
              <w:rPr>
                <w:rFonts w:ascii="Times New Roman" w:hAnsi="Times New Roman" w:cs="Times New Roman"/>
                <w:b/>
                <w:sz w:val="20"/>
              </w:rPr>
              <w:t xml:space="preserve">Max.</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Bid ratio</w:t>
            </w:r>
            <w:r>
              <w:rPr>
                <w:rFonts w:ascii="Times New Roman" w:hAnsi="Times New Roman" w:cs="Times New Roman"/>
                <w:b w:val="0"/>
                <w:sz w:val="20"/>
              </w:rPr>
              <w:t xml:space="preserve"> </w:t>
            </w:r>
            <m:oMath>
              <m:sSup>
                <m:e>
                  <m:r>
                    <m:t>r</m:t>
                  </m:r>
                </m:e>
                <m:sup>
                  <m:r>
                    <m:t>b</m:t>
                  </m:r>
                </m:sup>
              </m:sSup>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1.275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1.108</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1.255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1.429</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0.847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1.896</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Award ratio</w:t>
            </w:r>
            <w:r>
              <w:rPr>
                <w:rFonts w:ascii="Times New Roman" w:hAnsi="Times New Roman" w:cs="Times New Roman"/>
                <w:b w:val="0"/>
                <w:sz w:val="20"/>
              </w:rPr>
              <w:t xml:space="preserve"> </w:t>
            </w:r>
            <m:oMath>
              <m:sSup>
                <m:e>
                  <m:r>
                    <m:t>r</m:t>
                  </m:r>
                </m:e>
                <m:sup>
                  <m:r>
                    <m:t>w</m:t>
                  </m:r>
                </m:sup>
              </m:sSup>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1.384</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1.184</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1.356</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1.557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0.665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2.295</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Cover ratio</w:t>
            </w:r>
            <w:r>
              <w:rPr>
                <w:rFonts w:ascii="Times New Roman" w:hAnsi="Times New Roman" w:cs="Times New Roman"/>
                <w:b w:val="0"/>
                <w:sz w:val="20"/>
              </w:rPr>
              <w:t xml:space="preserve"> </w:t>
            </w:r>
            <m:oMath>
              <m:r>
                <m:t>R</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1.785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1.550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1.710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1.980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1.080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3.780</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Auction volume</w:t>
            </w:r>
            <w:r>
              <w:rPr>
                <w:rFonts w:ascii="Times New Roman" w:hAnsi="Times New Roman" w:cs="Times New Roman"/>
                <w:b w:val="0"/>
                <w:sz w:val="20"/>
              </w:rPr>
              <w:t xml:space="preserve"> </w:t>
            </w:r>
            <m:oMath>
              <m:r>
                <m:t>V</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2.659</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2.147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3.035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3.245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0.970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3.350</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Submitted volume</w:t>
            </w:r>
            <w:r>
              <w:rPr>
                <w:rFonts w:ascii="Times New Roman" w:hAnsi="Times New Roman" w:cs="Times New Roman"/>
                <w:b w:val="0"/>
                <w:sz w:val="20"/>
              </w:rPr>
              <w:t xml:space="preserve"> </w:t>
            </w:r>
            <m:oMath>
              <m:r>
                <m:t>B</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4.588</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4.076</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4.712</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5.156</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1.946</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6.731</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Total bidders</w:t>
            </w:r>
            <w:r>
              <w:rPr>
                <w:rFonts w:ascii="Times New Roman" w:hAnsi="Times New Roman" w:cs="Times New Roman"/>
                <w:b w:val="0"/>
                <w:sz w:val="20"/>
              </w:rPr>
              <w:t xml:space="preserve"> </w:t>
            </w:r>
            <m:oMath>
              <m:r>
                <m:t>N</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22.948</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21</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23</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30</w:t>
            </w:r>
          </w:p>
        </w:tc>
      </w:tr>
      <w:tr>
        <w:trPr>
          <w:cantSplit/>
        </w:trPr>
        <w:tc>
          <w:tcPr>
            <w:tcW w:type="dxa" w:w="2646"/>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Successful bidders</w:t>
            </w:r>
            <w:r>
              <w:rPr>
                <w:rFonts w:ascii="Times New Roman" w:hAnsi="Times New Roman" w:cs="Times New Roman"/>
                <w:b w:val="0"/>
                <w:sz w:val="20"/>
              </w:rPr>
              <w:t xml:space="preserve"> </w:t>
            </w:r>
            <m:oMath>
              <m:r>
                <m:t>S</m:t>
              </m:r>
            </m:oMath>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17.071</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17</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20</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5</w:t>
            </w:r>
          </w:p>
        </w:tc>
        <w:tc>
          <w:tcPr>
            <w:tcW w:type="dxa" w:w="1203"/>
            <w:vAlign w:val="center"/>
            <w:tcMar>
              <w:top w:w="65" w:type="dxa"/>
              <w:bottom w:w="65" w:type="dxa"/>
              <w:left w:w="70" w:type="dxa"/>
              <w:right w:w="70" w:type="dxa"/>
            </w:tcMar>
          </w:tcPr>
          <w:p>
            <w:pPr>
              <w:pStyle w:val="Compact"/>
              <w:keepNext/>
              <w:keepLines/>
              <w:spacing w:before="60" w:after="60" w:line="245" w:lineRule="auto"/>
              <w:jc w:val="right"/>
            </w:pPr>
            <w:r>
              <w:rPr>
                <w:rFonts w:ascii="Times New Roman" w:hAnsi="Times New Roman" w:cs="Times New Roman"/>
                <w:b w:val="0"/>
                <w:sz w:val="20"/>
              </w:rPr>
              <w:t xml:space="preserve">27</w:t>
            </w:r>
          </w:p>
        </w:tc>
      </w:tr>
    </w:tbl>
    <w:p>
      <w:pPr>
        <w:pStyle w:val="TableNote"/>
        <w:keepNext w:val="0"/>
        <w:keepLines/>
        <w:pageBreakBefore w:val="0"/>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These previously tabulated summaries use the unchanged eligible auctions and equal row weights. Volume fields are in million tCO2; bidder counts and ratios are on their original scales. Quartiles use linear interpolation at (</w:t>
      </w:r>
      <w:r>
        <w:rPr>
          <w:rFonts w:ascii="Times New Roman" w:hAnsi="Times New Roman" w:cs="Times New Roman"/>
          <w:sz w:val="19"/>
          <w:i w:val="1"/>
        </w:rPr>
        <w:t xml:space="preserve">n</w:t>
      </w:r>
      <w:r>
        <w:rPr>
          <w:rFonts w:ascii="Times New Roman" w:hAnsi="Times New Roman" w:cs="Times New Roman"/>
          <w:sz w:val="19"/>
        </w:rPr>
        <w:t xml:space="preserve">−1)q (type 7). No </w:t>
      </w:r>
      <w:r>
        <w:rPr>
          <w:rFonts w:ascii="Times New Roman" w:hAnsi="Times New Roman" w:cs="Times New Roman"/>
          <w:sz w:val="19"/>
          <w:i w:val="1"/>
        </w:rPr>
        <w:t xml:space="preserve">p</w:t>
      </w:r>
      <w:r>
        <w:rPr>
          <w:rFonts w:ascii="Times New Roman" w:hAnsi="Times New Roman" w:cs="Times New Roman"/>
          <w:sz w:val="19"/>
        </w:rPr>
        <w:t xml:space="preserve">-values, distributional-equality tests, trimming or new regression are introduced. These are marginal auction-level summaries; the early and late auctions do not represent matched bidder populations. Lower marginal ratios cannot be equated with a decline in identified bidder-level inequality, and the table does not explain the change in conditional association.</w:t>
      </w:r>
    </w:p>
    <w:p>
      <w:pPr>
        <w:pStyle w:val="BodyText"/>
        <w:keepNext w:val="0"/>
        <w:pageBreakBefore w:val="0"/>
        <w:widowControl/>
        <w:spacing w:line="269" w:lineRule="auto" w:before="0" w:after="120"/>
        <w:ind w:left="0" w:right="0" w:firstLine="0"/>
      </w:pPr>
      <w:r>
        <w:rPr>
          <w:rFonts w:ascii="Times New Roman" w:hAnsi="Times New Roman" w:cs="Times New Roman"/>
          <w:sz w:val="23"/>
        </w:rPr>
        <w:t xml:space="preserve">The direct differences in correlation in main Table 6, Panel C, already exist in the frozen extension:</w:t>
      </w:r>
      <w:r>
        <w:rPr>
          <w:rFonts w:ascii="Times New Roman" w:hAnsi="Times New Roman" w:cs="Times New Roman"/>
          <w:sz w:val="23"/>
        </w:rPr>
        <w:t xml:space="preserve"> </w:t>
      </w:r>
      <w:r>
        <w:rPr>
          <w:rStyle w:val="VerbatimChar"/>
          <w:rFonts w:ascii="Times New Roman" w:hAnsi="Times New Roman" w:cs="Times New Roman"/>
          <w:sz w:val="23"/>
        </w:rPr>
        <w:t xml:space="preserve">period_intervals.A.delta_theta_CI</w:t>
      </w:r>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w:r>
        <w:rPr>
          <w:rStyle w:val="VerbatimChar"/>
          <w:rFonts w:ascii="Times New Roman" w:hAnsi="Times New Roman" w:cs="Times New Roman"/>
          <w:sz w:val="23"/>
        </w:rPr>
        <w:t xml:space="preserve">period_intervals.C.delta_theta_CI</w:t>
      </w:r>
      <w:r>
        <w:rPr>
          <w:rFonts w:ascii="Times New Roman" w:hAnsi="Times New Roman" w:cs="Times New Roman"/>
          <w:sz w:val="23"/>
        </w:rPr>
        <w:t xml:space="preserve"> </w:t>
      </w:r>
      <w:r>
        <w:rPr>
          <w:rFonts w:ascii="Times New Roman" w:hAnsi="Times New Roman" w:cs="Times New Roman"/>
          <w:sz w:val="23"/>
        </w:rPr>
        <w:t xml:space="preserve">in</w:t>
      </w:r>
      <w:r>
        <w:rPr>
          <w:rFonts w:ascii="Times New Roman" w:hAnsi="Times New Roman" w:cs="Times New Roman"/>
          <w:sz w:val="23"/>
        </w:rPr>
        <w:t xml:space="preserve"> </w:t>
      </w:r>
      <w:r>
        <w:rPr>
          <w:rStyle w:val="VerbatimChar"/>
          <w:rFonts w:ascii="Times New Roman" w:hAnsi="Times New Roman" w:cs="Times New Roman"/>
          <w:sz w:val="23"/>
        </w:rPr>
        <w:t xml:space="preserve">support/frozen_extension_results.json</w:t>
      </w:r>
      <w:r>
        <w:rPr>
          <w:rFonts w:ascii="Times New Roman" w:hAnsi="Times New Roman" w:cs="Times New Roman"/>
          <w:sz w:val="23"/>
        </w:rPr>
        <w:t xml:space="preserve">, and equivalently</w:t>
      </w:r>
      <w:r>
        <w:rPr>
          <w:rFonts w:ascii="Times New Roman" w:hAnsi="Times New Roman" w:cs="Times New Roman"/>
          <w:sz w:val="23"/>
        </w:rPr>
        <w:t xml:space="preserve"> </w:t>
      </w:r>
      <w:r>
        <w:rPr>
          <w:rStyle w:val="VerbatimChar"/>
          <w:rFonts w:ascii="Times New Roman" w:hAnsi="Times New Roman" w:cs="Times New Roman"/>
          <w:sz w:val="23"/>
        </w:rPr>
        <w:t xml:space="preserve">periods.A.delta_theta_CI95</w:t>
      </w:r>
      <w:r>
        <w:rPr>
          <w:rFonts w:ascii="Times New Roman" w:hAnsi="Times New Roman" w:cs="Times New Roman"/>
          <w:sz w:val="23"/>
        </w:rPr>
        <w:t xml:space="preserve"> </w:t>
      </w:r>
      <w:r>
        <w:rPr>
          <w:rFonts w:ascii="Times New Roman" w:hAnsi="Times New Roman" w:cs="Times New Roman"/>
          <w:sz w:val="23"/>
        </w:rPr>
        <w:t xml:space="preserve">and</w:t>
      </w:r>
      <w:r>
        <w:rPr>
          <w:rFonts w:ascii="Times New Roman" w:hAnsi="Times New Roman" w:cs="Times New Roman"/>
          <w:sz w:val="23"/>
        </w:rPr>
        <w:t xml:space="preserve"> </w:t>
      </w:r>
      <w:r>
        <w:rPr>
          <w:rStyle w:val="VerbatimChar"/>
          <w:rFonts w:ascii="Times New Roman" w:hAnsi="Times New Roman" w:cs="Times New Roman"/>
          <w:sz w:val="23"/>
        </w:rPr>
        <w:t xml:space="preserve">periods.C.delta_theta_CI95</w:t>
      </w:r>
      <w:r>
        <w:rPr>
          <w:rFonts w:ascii="Times New Roman" w:hAnsi="Times New Roman" w:cs="Times New Roman"/>
          <w:sz w:val="23"/>
        </w:rPr>
        <w:t xml:space="preserve"> </w:t>
      </w:r>
      <w:r>
        <w:rPr>
          <w:rFonts w:ascii="Times New Roman" w:hAnsi="Times New Roman" w:cs="Times New Roman"/>
          <w:sz w:val="23"/>
        </w:rPr>
        <w:t xml:space="preserve">in the repository’s</w:t>
      </w:r>
      <w:r>
        <w:rPr>
          <w:rFonts w:ascii="Times New Roman" w:hAnsi="Times New Roman" w:cs="Times New Roman"/>
          <w:sz w:val="23"/>
        </w:rPr>
        <w:t xml:space="preserve"> </w:t>
      </w:r>
      <w:r>
        <w:rPr>
          <w:rStyle w:val="VerbatimChar"/>
          <w:rFonts w:ascii="Times New Roman" w:hAnsi="Times New Roman" w:cs="Times New Roman"/>
          <w:sz w:val="23"/>
        </w:rPr>
        <w:t xml:space="preserve">KEY_RESULTS.json</w:t>
      </w:r>
      <w:r>
        <w:rPr>
          <w:rFonts w:ascii="Times New Roman" w:hAnsi="Times New Roman" w:cs="Times New Roman"/>
          <w:sz w:val="23"/>
        </w:rPr>
        <w:t xml:space="preserve">. The point differences are 0.2296942521 and 0.2305336591. These are secondary exploratory 95% intervals, not the 97.5% primary slope intervals. Displaying them now does not retrospectively change the extension protocol.</w:t>
      </w:r>
    </w:p>
    <w:p>
      <w:pPr>
        <w:pStyle w:val="BodyText"/>
        <w:keepNext w:val="0"/>
        <w:pageBreakBefore w:val="0"/>
        <w:widowControl/>
        <w:spacing w:line="269" w:lineRule="auto" w:before="0" w:after="120"/>
        <w:ind w:left="0" w:right="0" w:firstLine="0"/>
      </w:pPr>
      <w:r>
        <w:rPr>
          <w:rFonts w:ascii="Times New Roman" w:hAnsi="Times New Roman" w:cs="Times New Roman"/>
          <w:sz w:val="23"/>
        </w:rPr>
        <w:t>Versioned numerical ledgers retain the mapping from displayed quantities to the fixed results. This revision provides tables/PRICE_DISPLAY_LEDGER.csv and support/AGGREGATE_AUDIT.json, with source-release links in DATA_ACCESS_AND_REPRODUCTION.md. The aggregate audit checks stored summaries and test statistics; it does not replace the row-level analysis or the original source audit.</w:t>
      </w:r>
    </w:p>
    <w:p>
      <w:pPr>
        <w:pStyle w:val="Heading2"/>
        <w:pageBreakBefore w:val="0"/>
        <w:widowControl/>
        <w:ind w:left="0" w:right="0" w:firstLine="0"/>
      </w:pPr>
      <w:r>
        <w:rPr>
          <w:rFonts w:ascii="Times New Roman" w:hAnsi="Times New Roman" w:cs="Times New Roman"/>
          <w:sz w:val="23"/>
        </w:rPr>
        <w:t>S9 Conditioning-set sensitivity and Figure S1</w:t>
      </w:r>
    </w:p>
    <w:p>
      <w:pPr>
        <w:pStyle w:val="Caption"/>
        <w:keepNext/>
        <w:keepLines/>
        <w:pageBreakBefore w:val="0"/>
        <w:widowControl/>
        <w:spacing w:after="80"/>
        <w:ind w:left="0" w:right="0" w:firstLine="0"/>
      </w:pPr>
      <w:r>
        <w:rPr>
          <w:rFonts w:ascii="Times New Roman" w:hAnsi="Times New Roman" w:cs="Times New Roman"/>
          <w:b/>
          <w:bCs/>
          <w:sz w:val="21"/>
        </w:rPr>
        <w:t xml:space="preserve">Table S6 Residual association across conditioning sets</w:t>
      </w:r>
    </w:p>
    <w:tbl>
      <w:tblPr>
        <w:tblStyle w:val="Table"/>
        <w:tblW w:type="dxa" w:w="9865"/>
        <w:tblLayout w:type="fixed"/>
        <w:tblLook w:firstRow="1" w:lastRow="0" w:firstColumn="0" w:lastColumn="0" w:noHBand="0" w:noVBand="0" w:val="0020"/>
        <w:jc w:val="center"/>
        <w:tblBorders>
          <w:top w:val="single" w:sz="6" w:color="000000"/>
          <w:bottom w:val="single" w:sz="6" w:color="000000"/>
          <w:insideH w:val="nil" w:sz="6" w:color="000000"/>
          <w:insideV w:val="nil" w:sz="6" w:color="000000"/>
          <w:left w:val="nil" w:sz="6" w:color="000000"/>
          <w:right w:val="nil" w:sz="6" w:color="000000"/>
        </w:tblBorders>
      </w:tblPr>
      <w:tblGrid>
        <w:gridCol w:w="3730"/>
        <w:gridCol w:w="3067"/>
        <w:gridCol w:w="3067"/>
      </w:tblGrid>
      <w:tr>
        <w:trPr>
          <w:tblHeader w:val="on"/>
          <w:cantSplit/>
          <w:tblHeader/>
        </w:trPr>
        <w:tc>
          <w:tcPr>
            <w:tcW w:type="dxa" w:w="3730"/>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Conditioning set</w:t>
            </w:r>
          </w:p>
        </w:tc>
        <w:tc>
          <w:tcPr>
            <w:tcW w:type="dxa" w:w="3067"/>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A:</w:t>
            </w:r>
            <w:r>
              <w:rPr>
                <w:rFonts w:ascii="Times New Roman" w:hAnsi="Times New Roman" w:cs="Times New Roman"/>
                <w:b/>
                <w:sz w:val="20"/>
              </w:rPr>
              <w:t xml:space="preserve"> </w:t>
            </w:r>
            <m:oMath>
              <m:acc>
                <m:accPr>
                  <m:chr m:val="̂"/>
                </m:accPr>
                <m:e>
                  <m:r>
                    <m:t>θ</m:t>
                  </m:r>
                </m:e>
              </m:acc>
            </m:oMath>
            <w:r>
              <w:rPr>
                <w:rFonts w:ascii="Times New Roman" w:hAnsi="Times New Roman" w:cs="Times New Roman"/>
                <w:b/>
                <w:sz w:val="20"/>
              </w:rPr>
              <w:t xml:space="preserve"> </w:t>
            </w:r>
            <w:r>
              <w:rPr>
                <w:rFonts w:ascii="Times New Roman" w:hAnsi="Times New Roman" w:cs="Times New Roman"/>
                <w:b/>
                <w:sz w:val="20"/>
              </w:rPr>
              <w:t xml:space="preserve">[95% interval]</w:t>
            </w:r>
          </w:p>
        </w:tc>
        <w:tc>
          <w:tcPr>
            <w:tcW w:type="dxa" w:w="3067"/>
            <w:vAlign w:val="center"/>
            <w:tcMar>
              <w:top w:w="65" w:type="dxa"/>
              <w:bottom w:w="65" w:type="dxa"/>
              <w:left w:w="70" w:type="dxa"/>
              <w:right w:w="70" w:type="dxa"/>
            </w:tcMar>
            <w:tcBorders>
              <w:bottom w:val="single" w:sz="4"/>
            </w:tcBorders>
          </w:tcPr>
          <w:p>
            <w:pPr>
              <w:pStyle w:val="Compact"/>
              <w:keepNext/>
              <w:keepLines/>
              <w:spacing w:before="60" w:after="60" w:line="245" w:lineRule="auto"/>
              <w:jc w:val="left"/>
            </w:pPr>
            <w:r>
              <w:rPr>
                <w:rFonts w:ascii="Times New Roman" w:hAnsi="Times New Roman" w:cs="Times New Roman"/>
                <w:b/>
                <w:sz w:val="20"/>
              </w:rPr>
              <w:t xml:space="preserve">C:</w:t>
            </w:r>
            <w:r>
              <w:rPr>
                <w:rFonts w:ascii="Times New Roman" w:hAnsi="Times New Roman" w:cs="Times New Roman"/>
                <w:b/>
                <w:sz w:val="20"/>
              </w:rPr>
              <w:t xml:space="preserve"> </w:t>
            </w:r>
            <m:oMath>
              <m:acc>
                <m:accPr>
                  <m:chr m:val="̂"/>
                </m:accPr>
                <m:e>
                  <m:r>
                    <m:t>θ</m:t>
                  </m:r>
                </m:e>
              </m:acc>
            </m:oMath>
            <w:r>
              <w:rPr>
                <w:rFonts w:ascii="Times New Roman" w:hAnsi="Times New Roman" w:cs="Times New Roman"/>
                <w:b/>
                <w:sz w:val="20"/>
              </w:rPr>
              <w:t xml:space="preserve"> </w:t>
            </w:r>
            <w:r>
              <w:rPr>
                <w:rFonts w:ascii="Times New Roman" w:hAnsi="Times New Roman" w:cs="Times New Roman"/>
                <w:b/>
                <w:sz w:val="20"/>
              </w:rPr>
              <w:t xml:space="preserve">[95% interval]</w:t>
            </w:r>
          </w:p>
        </w:tc>
      </w:tr>
      <w:tr>
        <w:trPr>
          <w:cantSplit/>
        </w:trPr>
        <w:tc>
          <w:tcPr>
            <w:tcW w:type="dxa" w:w="3730"/>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Series and year–month effects</w:t>
            </w:r>
          </w:p>
        </w:tc>
        <w:tc>
          <w:tcPr>
            <w:tcW w:type="dxa" w:w="306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0.6243 [0.5596, 0.7067]</w:t>
            </w:r>
          </w:p>
        </w:tc>
        <w:tc>
          <w:tcPr>
            <w:tcW w:type="dxa" w:w="306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0.6197 [0.5494, 0.7017]</w:t>
            </w:r>
          </w:p>
        </w:tc>
      </w:tr>
      <w:tr>
        <w:trPr>
          <w:cantSplit/>
        </w:trPr>
        <w:tc>
          <w:tcPr>
            <w:tcW w:type="dxa" w:w="3730"/>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Effects + volume + total bidders</w:t>
            </w:r>
          </w:p>
        </w:tc>
        <w:tc>
          <w:tcPr>
            <w:tcW w:type="dxa" w:w="306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0.6289 [0.5626, 0.7094]</w:t>
            </w:r>
          </w:p>
        </w:tc>
        <w:tc>
          <w:tcPr>
            <w:tcW w:type="dxa" w:w="306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0.6239 [0.5521, 0.7044]</w:t>
            </w:r>
          </w:p>
        </w:tc>
      </w:tr>
      <w:tr>
        <w:trPr>
          <w:cantSplit/>
        </w:trPr>
        <w:tc>
          <w:tcPr>
            <w:tcW w:type="dxa" w:w="3730"/>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Full controls</w:t>
            </w:r>
          </w:p>
        </w:tc>
        <w:tc>
          <w:tcPr>
            <w:tcW w:type="dxa" w:w="306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0.6496 [0.5714, 0.7422]</w:t>
            </w:r>
          </w:p>
        </w:tc>
        <w:tc>
          <w:tcPr>
            <w:tcW w:type="dxa" w:w="3067"/>
            <w:vAlign w:val="center"/>
            <w:tcMar>
              <w:top w:w="65" w:type="dxa"/>
              <w:bottom w:w="65" w:type="dxa"/>
              <w:left w:w="70" w:type="dxa"/>
              <w:right w:w="70" w:type="dxa"/>
            </w:tcMar>
          </w:tcPr>
          <w:p>
            <w:pPr>
              <w:pStyle w:val="Compact"/>
              <w:keepNext/>
              <w:keepLines/>
              <w:spacing w:before="60" w:after="60" w:line="245" w:lineRule="auto"/>
              <w:jc w:val="left"/>
            </w:pPr>
            <w:r>
              <w:rPr>
                <w:rFonts w:ascii="Times New Roman" w:hAnsi="Times New Roman" w:cs="Times New Roman"/>
                <w:b w:val="0"/>
                <w:sz w:val="20"/>
              </w:rPr>
              <w:t xml:space="preserve">0.6486 [0.5660, 0.7402]</w:t>
            </w:r>
          </w:p>
        </w:tc>
      </w:tr>
    </w:tbl>
    <w:p>
      <w:pPr>
        <w:pStyle w:val="TableNote"/>
        <w:keepNext w:val="0"/>
        <w:keepLines/>
        <w:pageBreakBefore w:val="0"/>
        <w:widowControl/>
        <w:spacing w:line="250" w:lineRule="auto" w:after="140"/>
        <w:ind w:left="0" w:right="0" w:firstLine="0"/>
      </w:pPr>
      <w:r>
        <w:rPr>
          <w:rFonts w:ascii="Times New Roman" w:hAnsi="Times New Roman" w:cs="Times New Roman"/>
          <w:i/>
          <w:iCs/>
          <w:sz w:val="19"/>
        </w:rPr>
        <w:t xml:space="preserve">Note:</w:t>
      </w:r>
      <w:r>
        <w:rPr>
          <w:rFonts w:ascii="Times New Roman" w:hAnsi="Times New Roman" w:cs="Times New Roman"/>
          <w:sz w:val="19"/>
        </w:rPr>
        <w:t xml:space="preserve"> </w:t>
      </w:r>
      <w:r>
        <w:rPr>
          <w:rFonts w:ascii="Times New Roman" w:hAnsi="Times New Roman" w:cs="Times New Roman"/>
          <w:sz w:val="19"/>
        </w:rPr>
        <w:t xml:space="preserve">Reduced-control intervals use 499 three-month block draws. The full-control row reuses the 999-draw principal intervals. Each conditioning set defines a different descriptive projection; these are not instruments or randomized comparisons.</w:t>
      </w:r>
    </w:p>
    <w:p>
      <w:pPr>
        <w:pStyle w:val="BodyText"/>
        <w:keepNext w:val="0"/>
        <w:pageBreakBefore w:val="0"/>
        <w:widowControl/>
        <w:spacing w:line="269" w:lineRule="auto" w:before="0" w:after="120"/>
        <w:ind w:left="0" w:right="0" w:firstLine="0"/>
      </w:pPr>
      <w:r>
        <w:rPr>
          <w:rFonts w:ascii="Times New Roman" w:hAnsi="Times New Roman" w:cs="Times New Roman"/>
          <w:sz w:val="23"/>
        </w:rPr>
        <w:t>Table S6 and Figure S1 use the same fixed values. The full-control row repeats the pooled quantity result for orientation and is not another empirical sample. Main Figure 1 shows interquartile ranges, main Figure 2 shows price-contrast CR1 intervals, and main Figure 3 shows secondary quantity-correlation differences. Their uncertainty and dispersion objects are not interchangeable.</w:t>
      </w:r>
    </w:p>
    <w:p>
      <w:pPr>
        <w:pStyle w:val="BodyText"/>
        <w:keepNext/>
        <w:pageBreakBefore w:val="0"/>
        <w:spacing w:after="40"/>
        <w:jc w:val="center"/>
      </w:pPr>
      <w:r>
        <w:rPr>
          <w:rFonts w:ascii="Times New Roman" w:hAnsi="Times New Roman" w:cs="Times New Roman"/>
          <w:sz w:val="23"/>
        </w:rPr>
        <w:drawing>
          <wp:inline>
            <wp:extent cx="6264000" cy="3337752"/>
            <wp:docPr id="1" name="Picture 1"/>
            <wp:cNvGraphicFramePr>
              <a:graphicFrameLocks noChangeAspect="1"/>
            </wp:cNvGraphicFramePr>
            <a:graphic>
              <a:graphicData uri="http://schemas.openxmlformats.org/drawingml/2006/picture">
                <pic:pic>
                  <pic:nvPicPr>
                    <pic:cNvPr id="0" name="FigS1.png"/>
                    <pic:cNvPicPr/>
                  </pic:nvPicPr>
                  <pic:blipFill>
                    <a:blip r:embed="rId11"/>
                    <a:stretch>
                      <a:fillRect/>
                    </a:stretch>
                  </pic:blipFill>
                  <pic:spPr>
                    <a:xfrm>
                      <a:off x="0" y="0"/>
                      <a:ext cx="6264000" cy="3337752"/>
                    </a:xfrm>
                    <a:prstGeom prst="rect"/>
                  </pic:spPr>
                </pic:pic>
              </a:graphicData>
            </a:graphic>
          </wp:inline>
        </w:drawing>
      </w:r>
    </w:p>
    <w:p>
      <w:pPr>
        <w:pStyle w:val="Caption"/>
        <w:keepNext w:val="0"/>
        <w:keepLines/>
        <w:pageBreakBefore w:val="0"/>
        <w:ind w:left="0" w:right="0" w:firstLine="0"/>
      </w:pPr>
      <w:r>
        <w:rPr>
          <w:rFonts w:ascii="Times New Roman" w:hAnsi="Times New Roman" w:cs="Times New Roman"/>
          <w:b/>
          <w:sz w:val="21"/>
        </w:rPr>
        <w:t>Fig. S1</w:t>
      </w:r>
      <w:r>
        <w:rPr>
          <w:rFonts w:ascii="Times New Roman" w:hAnsi="Times New Roman" w:cs="Times New Roman"/>
          <w:b w:val="0"/>
          <w:sz w:val="21"/>
        </w:rPr>
        <w:t xml:space="preserve"> Residual quantity correlations across conditioning sets. A and C denote log-one-plus and natural-log ratios. Bars are exploratory three-month-block 95% intervals, with 499 draws for reduced controls and 999 for full controls. FE denotes reporting-series and year–month fixed effects. This figure reuses Table S6 and introduces no new estimate</w:t>
      </w:r>
    </w:p>
    <w:p>
      <w:pPr>
        <w:pStyle w:val="Heading2"/>
        <w:pageBreakBefore w:val="0"/>
        <w:widowControl/>
        <w:ind w:left="0" w:right="0" w:firstLine="0"/>
      </w:pPr>
      <w:r>
        <w:rPr>
          <w:rFonts w:ascii="Times New Roman" w:hAnsi="Times New Roman" w:cs="Times New Roman"/>
          <w:sz w:val="23"/>
        </w:rPr>
        <w:t>S10 Composition-standardization protocol and results</w:t>
      </w:r>
    </w:p>
    <w:p>
      <w:pPr>
        <w:pStyle w:val="BodyText"/>
        <w:keepNext w:val="0"/>
        <w:keepLines/>
        <w:pageBreakBefore w:val="0"/>
        <w:widowControl/>
        <w:spacing w:line="269" w:lineRule="auto" w:before="0" w:after="120"/>
        <w:ind w:left="0" w:right="0" w:firstLine="0"/>
      </w:pPr>
      <w:r>
        <w:rPr>
          <w:rFonts w:ascii="Times New Roman" w:hAnsi="Times New Roman" w:cs="Times New Roman"/>
          <w:sz w:val="23"/>
        </w:rPr>
        <w:t>The supplementary protocol was recorded at commit 2151017871416fe0ad2505cfdbda23162aaa873e before the weighted fits, after the historical data and preceding results had been examined. It is not retrospective preregistration. The E1 implementation and outputs are frozen at 89d3ac3beba670838d4b62b1209f6f3412753f19. The original equal-weight estimates and intervals are retained; newly generated unweighted intervals serve paired comparisons within E1 only.</w:t>
      </w:r>
    </w:p>
    <w:p>
      <w:pPr>
        <w:pStyle w:val="BodyText"/>
        <w:keepNext w:val="0"/>
        <w:pageBreakBefore w:val="0"/>
        <w:widowControl/>
        <w:spacing w:line="269" w:lineRule="auto" w:before="0" w:after="120"/>
        <w:ind w:left="0" w:right="0" w:firstLine="0"/>
      </w:pPr>
      <w:r>
        <w:rPr>
          <w:rFonts w:ascii="Times New Roman" w:hAnsi="Times New Roman" w:cs="Times New Roman"/>
          <w:sz w:val="23"/>
        </w:rPr>
        <w:t>The period model has 22 columns: an intercept, four standardized log controls, four squares, two nonreference-series indicators and eleven month-of-year indicators. It excludes year and year–month identifiers. Exact selected-term mean balance is a property of the fitted unpenalized logistic overlap weights, not a new empirical finding (Li et al. 2018). It does not authenticate full distributional balance, assignment ignorability or minimum variance for a residual-correlation contrast. The outcome model is re-estimated separately in each half with original year–month effects. Early weights equal e and late weights equal 1−e; resampling multiplies these by row multiplicity.</w:t>
      </w:r>
    </w:p>
    <w:p>
      <w:pPr>
        <w:pStyle w:val="Caption"/>
        <w:keepNext/>
        <w:keepLines/>
        <w:pageBreakBefore w:val="0"/>
        <w:widowControl/>
        <w:spacing w:after="80"/>
        <w:ind w:left="0" w:right="0" w:firstLine="0"/>
      </w:pPr>
      <w:r>
        <w:rPr>
          <w:rFonts w:ascii="Times New Roman" w:hAnsi="Times New Roman" w:cs="Times New Roman"/>
          <w:b/>
          <w:sz w:val="21"/>
        </w:rPr>
        <w:t>Table S7 Weighted contrasts and paired changes</w:t>
      </w:r>
    </w:p>
    <w:tbl>
      <w:tblPr>
        <w:tblW w:type="dxa" w:w="9865"/>
        <w:tblLayout w:type="fixed"/>
        <w:tblLook w:firstColumn="1" w:firstRow="1" w:lastColumn="0" w:lastRow="0" w:noHBand="0" w:noVBand="1" w:val="04A0"/>
        <w:jc w:val="center"/>
        <w:tblBorders>
          <w:top w:val="single" w:sz="6" w:color="000000"/>
          <w:bottom w:val="single" w:sz="6" w:color="000000"/>
          <w:left w:val="nil" w:sz="6" w:color="000000"/>
          <w:right w:val="nil" w:sz="6" w:color="000000"/>
          <w:insideH w:val="nil" w:sz="6" w:color="000000"/>
          <w:insideV w:val="nil" w:sz="6" w:color="000000"/>
        </w:tblBorders>
      </w:tblPr>
      <w:tblGrid>
        <w:gridCol w:w="722"/>
        <w:gridCol w:w="2587"/>
        <w:gridCol w:w="1203"/>
        <w:gridCol w:w="2646"/>
        <w:gridCol w:w="2707"/>
      </w:tblGrid>
      <w:tr>
        <w:trPr>
          <w:cantSplit/>
          <w:tblHeader/>
        </w:trPr>
        <w:tc>
          <w:tcPr>
            <w:tcW w:type="dxa" w:w="722"/>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Spec.</w:t>
            </w:r>
          </w:p>
        </w:tc>
        <w:tc>
          <w:tcPr>
            <w:tcW w:type="dxa" w:w="2587"/>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Contrast</w:t>
            </w:r>
          </w:p>
        </w:tc>
        <w:tc>
          <w:tcPr>
            <w:tcW w:type="dxa" w:w="1203"/>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Estimate</w:t>
            </w:r>
          </w:p>
        </w:tc>
        <w:tc>
          <w:tcPr>
            <w:tcW w:type="dxa" w:w="2646"/>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95% interval</w:t>
            </w:r>
          </w:p>
        </w:tc>
        <w:tc>
          <w:tcPr>
            <w:tcW w:type="dxa" w:w="2707"/>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97.5% interval</w:t>
            </w:r>
          </w:p>
        </w:tc>
      </w:tr>
      <w:tr>
        <w:trPr>
          <w:cantSplit/>
        </w:trPr>
        <w:tc>
          <w:tcPr>
            <w:tcW w:type="dxa" w:w="72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A</w:t>
            </w:r>
          </w:p>
        </w:tc>
        <w:tc>
          <w:tcPr>
            <w:tcW w:type="dxa" w:w="25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Weighted difference</w:t>
            </w:r>
          </w:p>
        </w:tc>
        <w:tc>
          <w:tcPr>
            <w:tcW w:type="dxa" w:w="1203"/>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0.1971</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[0.1084, 0.2910]</w:t>
            </w:r>
          </w:p>
        </w:tc>
        <w:tc>
          <w:tcPr>
            <w:tcW w:type="dxa" w:w="270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[0.0947, 0.3029]</w:t>
            </w:r>
          </w:p>
        </w:tc>
      </w:tr>
      <w:tr>
        <w:trPr>
          <w:cantSplit/>
        </w:trPr>
        <w:tc>
          <w:tcPr>
            <w:tcW w:type="dxa" w:w="72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A</w:t>
            </w:r>
          </w:p>
        </w:tc>
        <w:tc>
          <w:tcPr>
            <w:tcW w:type="dxa" w:w="25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Weighting-induced change</w:t>
            </w:r>
          </w:p>
        </w:tc>
        <w:tc>
          <w:tcPr>
            <w:tcW w:type="dxa" w:w="1203"/>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-0.0326</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[-0.1349, 0.0802]</w:t>
            </w:r>
          </w:p>
        </w:tc>
        <w:tc>
          <w:tcPr>
            <w:tcW w:type="dxa" w:w="270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[-0.1520, 0.0915]</w:t>
            </w:r>
          </w:p>
        </w:tc>
      </w:tr>
      <w:tr>
        <w:trPr>
          <w:cantSplit/>
        </w:trPr>
        <w:tc>
          <w:tcPr>
            <w:tcW w:type="dxa" w:w="72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C</w:t>
            </w:r>
          </w:p>
        </w:tc>
        <w:tc>
          <w:tcPr>
            <w:tcW w:type="dxa" w:w="25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Weighted difference</w:t>
            </w:r>
          </w:p>
        </w:tc>
        <w:tc>
          <w:tcPr>
            <w:tcW w:type="dxa" w:w="1203"/>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0.1937</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[0.0982, 0.2843]</w:t>
            </w:r>
          </w:p>
        </w:tc>
        <w:tc>
          <w:tcPr>
            <w:tcW w:type="dxa" w:w="270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[0.0847, 0.3051]</w:t>
            </w:r>
          </w:p>
        </w:tc>
      </w:tr>
      <w:tr>
        <w:trPr>
          <w:cantSplit/>
        </w:trPr>
        <w:tc>
          <w:tcPr>
            <w:tcW w:type="dxa" w:w="72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C</w:t>
            </w:r>
          </w:p>
        </w:tc>
        <w:tc>
          <w:tcPr>
            <w:tcW w:type="dxa" w:w="258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Weighting-induced change</w:t>
            </w:r>
          </w:p>
        </w:tc>
        <w:tc>
          <w:tcPr>
            <w:tcW w:type="dxa" w:w="1203"/>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-0.0368</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[-0.1449, 0.0797]</w:t>
            </w:r>
          </w:p>
        </w:tc>
        <w:tc>
          <w:tcPr>
            <w:tcW w:type="dxa" w:w="2707"/>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[-0.1668, 0.0942]</w:t>
            </w:r>
          </w:p>
        </w:tc>
      </w:tr>
    </w:tbl>
    <w:p>
      <w:pPr>
        <w:pStyle w:val="TableNote"/>
        <w:keepNext w:val="0"/>
        <w:keepLines/>
        <w:pageBreakBefore w:val="0"/>
        <w:widowControl/>
        <w:spacing w:line="250" w:lineRule="auto" w:after="160"/>
        <w:ind w:left="0" w:right="0" w:firstLine="0"/>
      </w:pPr>
      <w:r>
        <w:rPr>
          <w:rFonts w:ascii="Times New Roman" w:hAnsi="Times New Roman" w:cs="Times New Roman"/>
          <w:sz w:val="19"/>
        </w:rPr>
        <w:t>Note: Change means the overlap-weighted minus equal-weight late-minus-early correlation difference from the same bootstrap draw, not a mediation effect. The 0.10 interpretation reference in the supplementary protocol was introduced after earlier results were known; it is neither a cost threshold nor a journal criterion. The weighted-contrast 97.5% intervals include that reference.</w:t>
      </w:r>
    </w:p>
    <w:p>
      <w:pPr>
        <w:pStyle w:val="Caption"/>
        <w:keepNext/>
        <w:keepLines/>
        <w:pageBreakBefore w:val="0"/>
        <w:widowControl/>
        <w:spacing w:after="80"/>
        <w:ind w:left="0" w:right="0" w:firstLine="0"/>
      </w:pPr>
      <w:r>
        <w:rPr>
          <w:rFonts w:ascii="Times New Roman" w:hAnsi="Times New Roman" w:cs="Times New Roman"/>
          <w:b/>
          <w:sz w:val="21"/>
        </w:rPr>
        <w:t>Table S8 Block-length sensitivity of the weighted correlation difference</w:t>
      </w:r>
    </w:p>
    <w:tbl>
      <w:tblPr>
        <w:tblW w:type="dxa" w:w="9865"/>
        <w:tblLayout w:type="fixed"/>
        <w:tblLook w:firstColumn="1" w:firstRow="1" w:lastColumn="0" w:lastRow="0" w:noHBand="0" w:noVBand="1" w:val="04A0"/>
        <w:jc w:val="center"/>
        <w:tblBorders>
          <w:top w:val="single" w:sz="6" w:color="000000"/>
          <w:bottom w:val="single" w:sz="6" w:color="000000"/>
          <w:left w:val="nil" w:sz="6" w:color="000000"/>
          <w:right w:val="nil" w:sz="6" w:color="000000"/>
          <w:insideH w:val="nil" w:sz="6" w:color="000000"/>
          <w:insideV w:val="nil" w:sz="6" w:color="000000"/>
        </w:tblBorders>
      </w:tblPr>
      <w:tblGrid>
        <w:gridCol w:w="1504"/>
        <w:gridCol w:w="1805"/>
        <w:gridCol w:w="3248"/>
        <w:gridCol w:w="3308"/>
      </w:tblGrid>
      <w:tr>
        <w:trPr>
          <w:cantSplit/>
          <w:tblHeader/>
        </w:trPr>
        <w:tc>
          <w:tcPr>
            <w:tcW w:type="dxa" w:w="1504"/>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Block months</w:t>
            </w:r>
          </w:p>
        </w:tc>
        <w:tc>
          <w:tcPr>
            <w:tcW w:type="dxa" w:w="1805"/>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Tuples sampled</w:t>
            </w:r>
          </w:p>
        </w:tc>
        <w:tc>
          <w:tcPr>
            <w:tcW w:type="dxa" w:w="3248"/>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A: 97.5% interval</w:t>
            </w:r>
          </w:p>
        </w:tc>
        <w:tc>
          <w:tcPr>
            <w:tcW w:type="dxa" w:w="3308"/>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C: 97.5% interval</w:t>
            </w:r>
          </w:p>
        </w:tc>
      </w:tr>
      <w:tr>
        <w:trPr>
          <w:cantSplit/>
        </w:trPr>
        <w:tc>
          <w:tcPr>
            <w:tcW w:type="dxa" w:w="1504"/>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1</w:t>
            </w:r>
          </w:p>
        </w:tc>
        <w:tc>
          <w:tcPr>
            <w:tcW w:type="dxa" w:w="1805"/>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199</w:t>
            </w:r>
          </w:p>
        </w:tc>
        <w:tc>
          <w:tcPr>
            <w:tcW w:type="dxa" w:w="3248"/>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[0.0991, 0.3018]</w:t>
            </w:r>
          </w:p>
        </w:tc>
        <w:tc>
          <w:tcPr>
            <w:tcW w:type="dxa" w:w="3308"/>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[0.0916, 0.3033]</w:t>
            </w:r>
          </w:p>
        </w:tc>
      </w:tr>
      <w:tr>
        <w:trPr>
          <w:cantSplit/>
        </w:trPr>
        <w:tc>
          <w:tcPr>
            <w:tcW w:type="dxa" w:w="1504"/>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3</w:t>
            </w:r>
          </w:p>
        </w:tc>
        <w:tc>
          <w:tcPr>
            <w:tcW w:type="dxa" w:w="1805"/>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999</w:t>
            </w:r>
          </w:p>
        </w:tc>
        <w:tc>
          <w:tcPr>
            <w:tcW w:type="dxa" w:w="3248"/>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[0.0947, 0.3029]</w:t>
            </w:r>
          </w:p>
        </w:tc>
        <w:tc>
          <w:tcPr>
            <w:tcW w:type="dxa" w:w="3308"/>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[0.0847, 0.3051]</w:t>
            </w:r>
          </w:p>
        </w:tc>
      </w:tr>
      <w:tr>
        <w:trPr>
          <w:cantSplit/>
        </w:trPr>
        <w:tc>
          <w:tcPr>
            <w:tcW w:type="dxa" w:w="1504"/>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6</w:t>
            </w:r>
          </w:p>
        </w:tc>
        <w:tc>
          <w:tcPr>
            <w:tcW w:type="dxa" w:w="1805"/>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199</w:t>
            </w:r>
          </w:p>
        </w:tc>
        <w:tc>
          <w:tcPr>
            <w:tcW w:type="dxa" w:w="3248"/>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[0.1049, 0.2881]</w:t>
            </w:r>
          </w:p>
        </w:tc>
        <w:tc>
          <w:tcPr>
            <w:tcW w:type="dxa" w:w="3308"/>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[0.0996, 0.2780]</w:t>
            </w:r>
          </w:p>
        </w:tc>
      </w:tr>
    </w:tbl>
    <w:p>
      <w:pPr>
        <w:pStyle w:val="TableNote"/>
        <w:keepNext w:val="0"/>
        <w:keepLines/>
        <w:pageBreakBefore w:val="0"/>
        <w:widowControl/>
        <w:spacing w:line="250" w:lineRule="auto" w:after="160"/>
        <w:ind w:left="0" w:right="0" w:firstLine="0"/>
      </w:pPr>
      <w:r>
        <w:rPr>
          <w:rFonts w:ascii="Times New Roman" w:hAnsi="Times New Roman" w:cs="Times New Roman"/>
          <w:sz w:val="19"/>
        </w:rPr>
        <w:t>Note: Both period and outcome models are refitted in every draw. A and C share indices. No failed draw was replaced. Short Monte Carlo runs affect endpoint precision; absence of computational failures does not establish coverage. Weight ESS values of 586.55 and 614.75 are concentration diagnostics, not independent time-sample sizes. Maximum normalized weights are approximately 0.263% and 0.314%. The failed auction-volume distribution diagnostic is shown in main Table 7, not suppressed.</w:t>
      </w:r>
    </w:p>
    <w:p>
      <w:pPr>
        <w:pStyle w:val="Heading2"/>
        <w:pageBreakBefore w:val="0"/>
        <w:widowControl/>
        <w:ind w:left="0" w:right="0" w:firstLine="0"/>
      </w:pPr>
      <w:r>
        <w:rPr>
          <w:rFonts w:ascii="Times New Roman" w:hAnsi="Times New Roman" w:cs="Times New Roman"/>
          <w:sz w:val="23"/>
        </w:rPr>
        <w:t>S11 Additional 2026 sample and finite block sensitivity</w:t>
      </w:r>
    </w:p>
    <w:p>
      <w:pPr>
        <w:pStyle w:val="BodyText"/>
        <w:keepNext w:val="0"/>
        <w:keepLines/>
        <w:pageBreakBefore w:val="0"/>
        <w:widowControl/>
        <w:spacing w:line="269" w:lineRule="auto" w:before="0" w:after="120"/>
        <w:ind w:left="0" w:right="0" w:firstLine="0"/>
      </w:pPr>
      <w:r>
        <w:rPr>
          <w:rFonts w:ascii="Times New Roman" w:hAnsi="Times New Roman" w:cs="Times New Roman"/>
          <w:sz w:val="23"/>
        </w:rPr>
        <w:t>The E3 record reports a download on 10 October 2026 at 13:33:15 UTC; E3R retrieved the same URL at 14:12:19 UTC. Both records identify 72,742 bytes and SHA-256 54e6fb649872d229333adb29b62a3ff5b7fddd7393facc047050fb8f87a1bf3d. E3R rebuilt the January–September eligibility set, excluding seven October rows from 173 dated records and retaining 166 auctions; the point estimates matched E3. This is a repeated implementation on the same snapshot, not an independent market replication, first-release audit or certification of standard-deviation populations.</w:t>
      </w:r>
    </w:p>
    <w:p>
      <w:pPr>
        <w:pStyle w:val="Caption"/>
        <w:keepNext/>
        <w:keepLines/>
        <w:pageBreakBefore w:val="0"/>
        <w:widowControl/>
        <w:spacing w:after="80"/>
        <w:ind w:left="0" w:right="0" w:firstLine="0"/>
      </w:pPr>
      <w:r>
        <w:rPr>
          <w:rFonts w:ascii="Times New Roman" w:hAnsi="Times New Roman" w:cs="Times New Roman"/>
          <w:b/>
          <w:sz w:val="21"/>
        </w:rPr>
        <w:t>Table S9 The 2026 association and short-axis diagnostic ranges</w:t>
      </w:r>
    </w:p>
    <w:tbl>
      <w:tblPr>
        <w:tblW w:type="dxa" w:w="9865"/>
        <w:tblLayout w:type="fixed"/>
        <w:tblLook w:firstColumn="1" w:firstRow="1" w:lastColumn="0" w:lastRow="0" w:noHBand="0" w:noVBand="1" w:val="04A0"/>
        <w:jc w:val="center"/>
        <w:tblBorders>
          <w:top w:val="single" w:sz="6" w:color="000000"/>
          <w:bottom w:val="single" w:sz="6" w:color="000000"/>
          <w:left w:val="nil" w:sz="6" w:color="000000"/>
          <w:right w:val="nil" w:sz="6" w:color="000000"/>
          <w:insideH w:val="nil" w:sz="6" w:color="000000"/>
          <w:insideV w:val="nil" w:sz="6" w:color="000000"/>
        </w:tblBorders>
      </w:tblPr>
      <w:tblGrid>
        <w:gridCol w:w="4572"/>
        <w:gridCol w:w="2646"/>
        <w:gridCol w:w="2646"/>
      </w:tblGrid>
      <w:tr>
        <w:trPr>
          <w:cantSplit/>
          <w:tblHeader/>
        </w:trPr>
        <w:tc>
          <w:tcPr>
            <w:tcW w:type="dxa" w:w="4572"/>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Quantity / diagnostic</w:t>
            </w:r>
          </w:p>
        </w:tc>
        <w:tc>
          <w:tcPr>
            <w:tcW w:type="dxa" w:w="2646"/>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A</w:t>
            </w:r>
          </w:p>
        </w:tc>
        <w:tc>
          <w:tcPr>
            <w:tcW w:type="dxa" w:w="2646"/>
            <w:tcMar>
              <w:top w:w="65" w:type="dxa"/>
              <w:bottom w:w="65" w:type="dxa"/>
              <w:left w:w="70" w:type="dxa"/>
              <w:right w:w="70" w:type="dxa"/>
            </w:tcMar>
            <w:tcBorders>
              <w:bottom w:val="single" w:sz="4"/>
            </w:tcBorders>
            <w:vAlign w:val="center"/>
          </w:tcPr>
          <w:p>
            <w:pPr>
              <w:keepNext/>
              <w:keepLines/>
              <w:spacing w:before="60" w:after="60" w:line="245" w:lineRule="auto"/>
            </w:pPr>
            <w:r>
              <w:rPr>
                <w:rFonts w:ascii="Times New Roman" w:hAnsi="Times New Roman" w:cs="Times New Roman"/>
                <w:b/>
                <w:sz w:val="20"/>
              </w:rPr>
              <w:t>C</w:t>
            </w:r>
          </w:p>
        </w:tc>
      </w:tr>
      <w:tr>
        <w:trPr>
          <w:cantSplit/>
        </w:trPr>
        <w:tc>
          <w:tcPr>
            <w:tcW w:type="dxa" w:w="457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 xml:space="preserve">Slope </w:t>
            </w:r>
            <w:r>
              <w:rPr>
                <w:rFonts w:ascii="Times New Roman" w:hAnsi="Times New Roman" w:cs="Times New Roman"/>
                <w:b w:val="0"/>
                <w:sz w:val="20"/>
                <w:i w:val="1"/>
              </w:rPr>
              <w:t xml:space="preserve">β</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1.3137</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1.2375</w:t>
            </w:r>
          </w:p>
        </w:tc>
      </w:tr>
      <w:tr>
        <w:trPr>
          <w:cantSplit/>
        </w:trPr>
        <w:tc>
          <w:tcPr>
            <w:tcW w:type="dxa" w:w="457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 xml:space="preserve">Residual correlation </w:t>
            </w:r>
            <w:r>
              <w:rPr>
                <w:rFonts w:ascii="Times New Roman" w:hAnsi="Times New Roman" w:cs="Times New Roman"/>
                <w:b w:val="0"/>
                <w:sz w:val="20"/>
                <w:i w:val="1"/>
              </w:rPr>
              <w:t xml:space="preserve">θ</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0.8494</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0.8350</w:t>
            </w:r>
          </w:p>
        </w:tc>
      </w:tr>
      <w:tr>
        <w:trPr>
          <w:cantSplit/>
        </w:trPr>
        <w:tc>
          <w:tcPr>
            <w:tcW w:type="dxa" w:w="457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 xml:space="preserve">Original 999-draw </w:t>
            </w:r>
            <w:r>
              <w:rPr>
                <w:rFonts w:ascii="Times New Roman" w:hAnsi="Times New Roman" w:cs="Times New Roman"/>
                <w:b w:val="0"/>
                <w:sz w:val="20"/>
                <w:i w:val="1"/>
              </w:rPr>
              <w:t xml:space="preserve">θ</w:t>
            </w:r>
            <w:r>
              <w:rPr>
                <w:rFonts w:ascii="Times New Roman" w:hAnsi="Times New Roman" w:cs="Times New Roman"/>
                <w:b w:val="0"/>
                <w:sz w:val="20"/>
              </w:rPr>
              <w:t xml:space="preserve"> interval</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[0.8123, 0.9149]</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[0.7832, 0.9156]</w:t>
            </w:r>
          </w:p>
        </w:tc>
      </w:tr>
      <w:tr>
        <w:trPr>
          <w:cantSplit/>
        </w:trPr>
        <w:tc>
          <w:tcPr>
            <w:tcW w:type="dxa" w:w="457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 xml:space="preserve">Non-circular finite </w:t>
            </w:r>
            <w:r>
              <w:rPr>
                <w:rFonts w:ascii="Times New Roman" w:hAnsi="Times New Roman" w:cs="Times New Roman"/>
                <w:b w:val="0"/>
                <w:sz w:val="20"/>
                <w:i w:val="1"/>
              </w:rPr>
              <w:t xml:space="preserve">θ</w:t>
            </w:r>
            <w:r>
              <w:rPr>
                <w:rFonts w:ascii="Times New Roman" w:hAnsi="Times New Roman" w:cs="Times New Roman"/>
                <w:b w:val="0"/>
                <w:sz w:val="20"/>
              </w:rPr>
              <w:t xml:space="preserve"> percentiles</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[0.8094, 0.9149]</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[0.7757, 0.9156]</w:t>
            </w:r>
          </w:p>
        </w:tc>
      </w:tr>
      <w:tr>
        <w:trPr>
          <w:cantSplit/>
        </w:trPr>
        <w:tc>
          <w:tcPr>
            <w:tcW w:type="dxa" w:w="457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 xml:space="preserve">Circular finite </w:t>
            </w:r>
            <w:r>
              <w:rPr>
                <w:rFonts w:ascii="Times New Roman" w:hAnsi="Times New Roman" w:cs="Times New Roman"/>
                <w:b w:val="0"/>
                <w:sz w:val="20"/>
                <w:i w:val="1"/>
              </w:rPr>
              <w:t xml:space="preserve">θ</w:t>
            </w:r>
            <w:r>
              <w:rPr>
                <w:rFonts w:ascii="Times New Roman" w:hAnsi="Times New Roman" w:cs="Times New Roman"/>
                <w:b w:val="0"/>
                <w:sz w:val="20"/>
              </w:rPr>
              <w:t xml:space="preserve"> percentiles</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[0.8064, 0.9048]</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[0.7731, 0.9055]</w:t>
            </w:r>
          </w:p>
        </w:tc>
      </w:tr>
      <w:tr>
        <w:trPr>
          <w:cantSplit/>
        </w:trPr>
        <w:tc>
          <w:tcPr>
            <w:tcW w:type="dxa" w:w="4572"/>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 xml:space="preserve">Leave-one-month-out </w:t>
            </w:r>
            <w:r>
              <w:rPr>
                <w:rFonts w:ascii="Times New Roman" w:hAnsi="Times New Roman" w:cs="Times New Roman"/>
                <w:b w:val="0"/>
                <w:sz w:val="20"/>
                <w:i w:val="1"/>
              </w:rPr>
              <w:t xml:space="preserve">θ</w:t>
            </w:r>
            <w:r>
              <w:rPr>
                <w:rFonts w:ascii="Times New Roman" w:hAnsi="Times New Roman" w:cs="Times New Roman"/>
                <w:b w:val="0"/>
                <w:sz w:val="20"/>
              </w:rPr>
              <w:t xml:space="preserve"> range</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[0.8396, 0.8626]</w:t>
            </w:r>
          </w:p>
        </w:tc>
        <w:tc>
          <w:tcPr>
            <w:tcW w:type="dxa" w:w="2646"/>
            <w:tcMar>
              <w:top w:w="65" w:type="dxa"/>
              <w:bottom w:w="65" w:type="dxa"/>
              <w:left w:w="70" w:type="dxa"/>
              <w:right w:w="70" w:type="dxa"/>
            </w:tcMar>
            <w:vAlign w:val="center"/>
          </w:tcPr>
          <w:p>
            <w:pPr>
              <w:keepNext/>
              <w:keepLines/>
              <w:spacing w:before="60" w:after="60" w:line="245" w:lineRule="auto"/>
            </w:pPr>
            <w:r>
              <w:rPr>
                <w:rFonts w:ascii="Times New Roman" w:hAnsi="Times New Roman" w:cs="Times New Roman"/>
                <w:b w:val="0"/>
                <w:sz w:val="20"/>
              </w:rPr>
              <w:t>[0.8230, 0.8569]</w:t>
            </w:r>
          </w:p>
        </w:tc>
      </w:tr>
    </w:tbl>
    <w:p>
      <w:pPr>
        <w:pStyle w:val="TableNote"/>
        <w:keepNext w:val="0"/>
        <w:keepLines/>
        <w:pageBreakBefore w:val="0"/>
        <w:widowControl/>
        <w:spacing w:line="250" w:lineRule="auto" w:after="160"/>
        <w:ind w:left="0" w:right="0" w:firstLine="0"/>
      </w:pPr>
      <w:r>
        <w:rPr>
          <w:rFonts w:ascii="Times New Roman" w:hAnsi="Times New Roman" w:cs="Times New Roman"/>
          <w:sz w:val="19"/>
        </w:rPr>
        <w:t>Note: Point estimates and the original 999-draw intervals belong to E3. Finite-enumeration and deletion diagnostics are post-result E3R analyses. The enumeration percentiles are 2.5% and 97.5% quantiles of equally likely ordered block triples with linear interpolation. Deletion ranges are not confidence intervals. All schemes use the same 166 auctions and fixed models; they do not provide independent market replications.</w:t>
      </w:r>
    </w:p>
    <w:p>
      <w:pPr>
        <w:pStyle w:val="BodyText"/>
        <w:keepNext w:val="0"/>
        <w:pageBreakBefore w:val="0"/>
        <w:widowControl/>
        <w:spacing w:line="269" w:lineRule="auto" w:before="0" w:after="120"/>
        <w:ind w:left="0" w:right="0" w:firstLine="0"/>
      </w:pPr>
      <w:r>
        <w:rPr>
          <w:rFonts w:ascii="Times New Roman" w:hAnsi="Times New Roman" w:cs="Times New Roman"/>
          <w:sz w:val="23"/>
        </w:rPr>
        <w:t>For non-circular triples, the expected original-month multiplicities are (3,6,9,9,9,9,9,6,3)/7. Endpoint underrepresentation is therefore structural, not eliminated by 999 Monte Carlo draws. The 343 ordered triples yield 84 distinct month-weight vectors. The 729 circular triples yield 163 vectors and unit expected multiplicity for every month; they also connect September to January artificially. Both full finite distributions are retained. No claim is made that the circular scheme is universally more appropriate or that exact enumeration gives exact frequentist coverage.</w:t>
      </w:r>
    </w:p>
    <w:p>
      <w:pPr>
        <w:pStyle w:val="BodyText"/>
        <w:keepNext w:val="0"/>
        <w:pageBreakBefore w:val="0"/>
        <w:widowControl/>
        <w:spacing w:line="269" w:lineRule="auto" w:before="0" w:after="120"/>
        <w:ind w:left="0" w:right="0" w:firstLine="0"/>
      </w:pPr>
      <w:r>
        <w:rPr>
          <w:rFonts w:ascii="Times New Roman" w:hAnsi="Times New Roman" w:cs="Times New Roman"/>
          <w:sz w:val="23"/>
        </w:rPr>
        <w:t>E3R records 2,164 primary projection requests and eight explicit-dummy numerical cross-checks, with no failures and maximum implementation difference 4.60×10⁻¹⁴. Its six synthetic checks assess enumeration, multiplicities and projection code. These execution counts are not observations. Complete outputs are at research/eex_integration_checks_20261010/results, commit 35d8c63fc57173f67eb0bd8bb570eb289188324f; they have not been re-estimated for v9.</w:t>
      </w:r>
    </w:p>
    <w:p>
      <w:pPr>
        <w:pStyle w:val="Heading2"/>
        <w:pageBreakBefore w:val="0"/>
        <w:widowControl/>
        <w:ind w:left="0" w:right="0" w:firstLine="0"/>
      </w:pPr>
      <w:r>
        <w:rPr>
          <w:rFonts w:ascii="Times New Roman" w:hAnsi="Times New Roman" w:cs="Times New Roman"/>
          <w:sz w:val="23"/>
        </w:rPr>
        <w:t>S12 German reported-price sources and reproduction boundary</w:t>
      </w:r>
    </w:p>
    <w:p>
      <w:pPr>
        <w:pStyle w:val="BodyText"/>
        <w:keepNext w:val="0"/>
        <w:keepLines/>
        <w:pageBreakBefore w:val="0"/>
        <w:widowControl/>
        <w:spacing w:line="269" w:lineRule="auto" w:before="0" w:after="120"/>
        <w:ind w:left="0" w:right="0" w:firstLine="0"/>
      </w:pPr>
      <w:r>
        <w:rPr>
          <w:rFonts w:ascii="Times New Roman" w:hAnsi="Times New Roman" w:cs="Times New Roman"/>
          <w:sz w:val="23"/>
        </w:rPr>
        <w:t>The completed price study uses the German official-report comparison layer. Source-based matching identified 275 successful auctions in 24 quarters of 2020–2025, with price and quantity links to the EEX archive. The fixed restrictions quarantine 35 observations: 11 from 2022Q4, 11 from 2023Q4 and 12 from 2024Q2 for unresolved reference-footnote mapping, and one from 2025Q1 for a source-date conflict. This leaves 240 observations in 21 quarters, comprising 236 last-best-bid and four last-trade references. The predefined subset without row-level source flags contains 203 observations in 18 quarters. These qualification rules preceded the first price fit.</w:t>
      </w:r>
    </w:p>
    <w:p>
      <w:pPr>
        <w:pStyle w:val="BodyText"/>
        <w:keepNext w:val="0"/>
        <w:pageBreakBefore w:val="0"/>
        <w:widowControl/>
        <w:spacing w:line="269" w:lineRule="auto" w:before="0" w:after="120"/>
        <w:ind w:left="0" w:right="0" w:firstLine="0"/>
      </w:pPr>
      <w:r>
        <w:rPr>
          <w:rFonts w:ascii="Times New Roman" w:hAnsi="Times New Roman" w:cs="Times New Roman"/>
          <w:sz w:val="23"/>
        </w:rPr>
        <w:t>Price results and code are fixed at fccd471de96548bd781c59aced4a59435aae08ac under research/eua_local_price_execution_20261011. Descriptions and the targeted source-definition check are fixed at 33707c164c80accd7acf9fcd3f0965088a8370f6 under research/eua_price_description_followup_20261011. The analysis retains signed numeric percentage points, converted to basis points; it does not take the modulus of the source's EUR column merely because it is labelled Absolute. The local source check did not locate an explicit subtraction-and-denominator equation in the examined methods text. No rounded values are inverted to manufacture that definition. The scope is official-reported deviations, with native quote age and UTC event times unauthenticated.</w:t>
      </w:r>
    </w:p>
    <w:p>
      <w:pPr>
        <w:pStyle w:val="BodyText"/>
        <w:keepNext w:val="0"/>
        <w:pageBreakBefore w:val="0"/>
        <w:widowControl/>
        <w:spacing w:line="269" w:lineRule="auto" w:before="0" w:after="120"/>
        <w:ind w:left="0" w:right="0" w:firstLine="0"/>
      </w:pPr>
      <w:r>
        <w:rPr>
          <w:rFonts w:ascii="Times New Roman" w:hAnsi="Times New Roman" w:cs="Times New Roman"/>
          <w:sz w:val="23"/>
        </w:rPr>
        <w:t>The official PDFs and event-level price tables remain author-held; public aggregate outputs and code permit review but not an independent row-level refit. A hash alone is not an archive or a data-use permission. This is separate from the 2026 quantity snapshot, whose dynamic EEX URL and required hash are recorded in Section S11 but whose exact bytes are not included in the package. The additional 22 German 2026 price observations were acquired but not fitted, and are distinct from the 166-observation 2026 quantity exercise.</w:t>
      </w:r>
    </w:p>
    <w:p>
      <w:pPr>
        <w:pStyle w:val="Heading2"/>
        <w:pageBreakBefore w:val="0"/>
        <w:ind w:left="0" w:right="0" w:firstLine="0"/>
      </w:pPr>
      <w:r>
        <w:rPr>
          <w:rFonts w:ascii="Times New Roman" w:hAnsi="Times New Roman" w:cs="Times New Roman"/>
          <w:sz w:val="23"/>
        </w:rPr>
        <w:t>S13 Estimands and evidence status</w:t>
      </w:r>
    </w:p>
    <w:p>
      <w:pPr>
        <w:pStyle w:val="BodyText"/>
        <w:keepNext w:val="0"/>
        <w:keepLines/>
        <w:pageBreakBefore w:val="0"/>
        <w:spacing w:line="269" w:lineRule="auto" w:before="0" w:after="120"/>
        <w:ind w:left="0" w:right="0" w:firstLine="0"/>
      </w:pPr>
      <w:r>
        <w:rPr>
          <w:rFonts w:ascii="Times New Roman" w:hAnsi="Times New Roman" w:cs="Times New Roman"/>
          <w:sz w:val="23"/>
        </w:rPr>
        <w:t>Table S10 records the role of each analysis in the research sequence. Different transformations, uncertainty levels and later checks are not interchangeable confirmations. The labels describe recorded analysis roles, not a prospectively registered design.</w:t>
      </w:r>
    </w:p>
    <w:p>
      <w:pPr>
        <w:pStyle w:val="Caption"/>
        <w:keepNext/>
        <w:keepLines/>
        <w:pageBreakBefore w:val="0"/>
        <w:ind w:left="0" w:right="0" w:firstLine="0"/>
      </w:pPr>
      <w:r>
        <w:rPr>
          <w:rFonts w:ascii="Times New Roman" w:hAnsi="Times New Roman" w:cs="Times New Roman"/>
          <w:b/>
          <w:sz w:val="21"/>
        </w:rPr>
        <w:t>Table S10 Evidence roles and limits</w:t>
      </w:r>
    </w:p>
    <w:tbl>
      <w:tblPr>
        <w:tblW w:type="dxa" w:w="9865"/>
        <w:tblLayout w:type="fixed"/>
        <w:tblLook w:firstColumn="1" w:firstRow="1" w:lastColumn="0" w:lastRow="0" w:noHBand="0" w:noVBand="1" w:val="04A0"/>
        <w:jc w:val="center"/>
        <w:tblBorders>
          <w:top w:val="single" w:sz="6" w:color="000000"/>
          <w:bottom w:val="single" w:sz="6" w:color="000000"/>
          <w:left w:val="nil" w:sz="6" w:color="000000"/>
          <w:right w:val="nil" w:sz="6" w:color="000000"/>
          <w:insideH w:val="nil" w:sz="6" w:color="000000"/>
          <w:insideV w:val="nil" w:sz="6" w:color="000000"/>
        </w:tblBorders>
      </w:tblPr>
      <w:tblGrid>
        <w:gridCol w:w="1925"/>
        <w:gridCol w:w="2587"/>
        <w:gridCol w:w="2707"/>
        <w:gridCol w:w="2646"/>
      </w:tblGrid>
      <w:tr>
        <w:trPr>
          <w:cantSplit/>
          <w:tblHeader/>
        </w:trPr>
        <w:tc>
          <w:tcPr>
            <w:tcW w:type="dxa" w:w="1925"/>
            <w:vAlign w:val="center"/>
            <w:tcBorders>
              <w:bottom w:val="single" w:sz="4"/>
            </w:tcBorders>
          </w:tcPr>
          <w:p>
            <w:pPr>
              <w:keepNext/>
              <w:keepLines/>
              <w:spacing w:before="60" w:after="60" w:line="245" w:lineRule="auto"/>
            </w:pPr>
            <w:r>
              <w:rPr>
                <w:rFonts w:ascii="Times New Roman" w:hAnsi="Times New Roman" w:cs="Times New Roman"/>
                <w:b/>
                <w:sz w:val="20"/>
              </w:rPr>
              <w:t>Analysis</w:t>
            </w:r>
          </w:p>
        </w:tc>
        <w:tc>
          <w:tcPr>
            <w:tcW w:type="dxa" w:w="2587"/>
            <w:vAlign w:val="center"/>
            <w:tcBorders>
              <w:bottom w:val="single" w:sz="4"/>
            </w:tcBorders>
          </w:tcPr>
          <w:p>
            <w:pPr>
              <w:keepNext/>
              <w:keepLines/>
              <w:spacing w:before="60" w:after="60" w:line="245" w:lineRule="auto"/>
            </w:pPr>
            <w:r>
              <w:rPr>
                <w:rFonts w:ascii="Times New Roman" w:hAnsi="Times New Roman" w:cs="Times New Roman"/>
                <w:b/>
                <w:sz w:val="20"/>
              </w:rPr>
              <w:t>Estimand</w:t>
            </w:r>
          </w:p>
        </w:tc>
        <w:tc>
          <w:tcPr>
            <w:tcW w:type="dxa" w:w="2707"/>
            <w:vAlign w:val="center"/>
            <w:tcBorders>
              <w:bottom w:val="single" w:sz="4"/>
            </w:tcBorders>
          </w:tcPr>
          <w:p>
            <w:pPr>
              <w:keepNext/>
              <w:keepLines/>
              <w:spacing w:before="60" w:after="60" w:line="245" w:lineRule="auto"/>
            </w:pPr>
            <w:r>
              <w:rPr>
                <w:rFonts w:ascii="Times New Roman" w:hAnsi="Times New Roman" w:cs="Times New Roman"/>
                <w:b/>
                <w:sz w:val="20"/>
              </w:rPr>
              <w:t>Uncertainty display</w:t>
            </w:r>
          </w:p>
        </w:tc>
        <w:tc>
          <w:tcPr>
            <w:tcW w:type="dxa" w:w="2646"/>
            <w:vAlign w:val="center"/>
            <w:tcBorders>
              <w:bottom w:val="single" w:sz="4"/>
            </w:tcBorders>
          </w:tcPr>
          <w:p>
            <w:pPr>
              <w:keepNext/>
              <w:keepLines/>
              <w:spacing w:before="60" w:after="60" w:line="245" w:lineRule="auto"/>
            </w:pPr>
            <w:r>
              <w:rPr>
                <w:rFonts w:ascii="Times New Roman" w:hAnsi="Times New Roman" w:cs="Times New Roman"/>
                <w:b/>
                <w:sz w:val="20"/>
              </w:rPr>
              <w:t>Interpretation</w:t>
            </w:r>
          </w:p>
        </w:tc>
      </w:tr>
      <w:tr>
        <w:trPr>
          <w:cantSplit/>
        </w:trPr>
        <w:tc>
          <w:tcPr>
            <w:tcW w:type="dxa" w:w="1925"/>
            <w:vAlign w:val="center"/>
          </w:tcPr>
          <w:p>
            <w:pPr>
              <w:keepNext/>
              <w:keepLines/>
              <w:spacing w:before="60" w:after="60" w:line="245" w:lineRule="auto"/>
            </w:pPr>
            <w:r>
              <w:rPr>
                <w:rFonts w:ascii="Times New Roman" w:hAnsi="Times New Roman" w:cs="Times New Roman"/>
                <w:b w:val="0"/>
                <w:sz w:val="20"/>
              </w:rPr>
              <w:t>Historical pooled relation</w:t>
            </w:r>
          </w:p>
        </w:tc>
        <w:tc>
          <w:tcPr>
            <w:tcW w:type="dxa" w:w="2587"/>
            <w:vAlign w:val="center"/>
          </w:tcPr>
          <w:p>
            <w:pPr>
              <w:keepNext/>
              <w:keepLines/>
              <w:spacing w:before="60" w:after="60" w:line="245" w:lineRule="auto"/>
            </w:pPr>
            <w:r>
              <w:rPr>
                <w:rFonts w:ascii="Times New Roman" w:hAnsi="Times New Roman" w:cs="Times New Roman"/>
                <w:b w:val="0"/>
                <w:sz w:val="20"/>
              </w:rPr>
              <w:t>Slope and residual correlation</w:t>
            </w:r>
          </w:p>
        </w:tc>
        <w:tc>
          <w:tcPr>
            <w:tcW w:type="dxa" w:w="2707"/>
            <w:vAlign w:val="center"/>
          </w:tcPr>
          <w:p>
            <w:pPr>
              <w:keepNext/>
              <w:keepLines/>
              <w:spacing w:before="60" w:after="60" w:line="245" w:lineRule="auto"/>
            </w:pPr>
            <w:r>
              <w:rPr>
                <w:rFonts w:ascii="Times New Roman" w:hAnsi="Times New Roman" w:cs="Times New Roman"/>
                <w:b w:val="0"/>
                <w:sz w:val="20"/>
              </w:rPr>
              <w:t>Exploratory 95% month-block intervals</w:t>
            </w:r>
          </w:p>
        </w:tc>
        <w:tc>
          <w:tcPr>
            <w:tcW w:type="dxa" w:w="2646"/>
            <w:vAlign w:val="center"/>
          </w:tcPr>
          <w:p>
            <w:pPr>
              <w:keepNext/>
              <w:keepLines/>
              <w:spacing w:before="60" w:after="60" w:line="245" w:lineRule="auto"/>
            </w:pPr>
            <w:r>
              <w:rPr>
                <w:rFonts w:ascii="Times New Roman" w:hAnsi="Times New Roman" w:cs="Times New Roman"/>
                <w:b w:val="0"/>
                <w:sz w:val="20"/>
              </w:rPr>
              <w:t>Within-sample conditional association</w:t>
            </w:r>
          </w:p>
        </w:tc>
      </w:tr>
      <w:tr>
        <w:trPr>
          <w:cantSplit/>
        </w:trPr>
        <w:tc>
          <w:tcPr>
            <w:tcW w:type="dxa" w:w="1925"/>
            <w:vAlign w:val="center"/>
          </w:tcPr>
          <w:p>
            <w:pPr>
              <w:keepNext/>
              <w:keepLines/>
              <w:spacing w:before="60" w:after="60" w:line="245" w:lineRule="auto"/>
            </w:pPr>
            <w:r>
              <w:rPr>
                <w:rFonts w:ascii="Times New Roman" w:hAnsi="Times New Roman" w:cs="Times New Roman"/>
                <w:b w:val="0"/>
                <w:sz w:val="20"/>
              </w:rPr>
              <w:t>Historical period contrast</w:t>
            </w:r>
          </w:p>
        </w:tc>
        <w:tc>
          <w:tcPr>
            <w:tcW w:type="dxa" w:w="2587"/>
            <w:vAlign w:val="center"/>
          </w:tcPr>
          <w:p>
            <w:pPr>
              <w:keepNext/>
              <w:keepLines/>
              <w:spacing w:before="60" w:after="60" w:line="245" w:lineRule="auto"/>
            </w:pPr>
            <w:r>
              <w:rPr>
                <w:rFonts w:ascii="Times New Roman" w:hAnsi="Times New Roman" w:cs="Times New Roman"/>
                <w:b w:val="0"/>
                <w:sz w:val="20"/>
              </w:rPr>
              <w:t>Primary slope difference; secondary correlation difference</w:t>
            </w:r>
          </w:p>
        </w:tc>
        <w:tc>
          <w:tcPr>
            <w:tcW w:type="dxa" w:w="2707"/>
            <w:vAlign w:val="center"/>
          </w:tcPr>
          <w:p>
            <w:pPr>
              <w:keepNext/>
              <w:keepLines/>
              <w:spacing w:before="60" w:after="60" w:line="245" w:lineRule="auto"/>
            </w:pPr>
            <w:r>
              <w:rPr>
                <w:rFonts w:ascii="Times New Roman" w:hAnsi="Times New Roman" w:cs="Times New Roman"/>
                <w:b w:val="0"/>
                <w:sz w:val="20"/>
              </w:rPr>
              <w:t>97.5% slope intervals; 95% correlation intervals</w:t>
            </w:r>
          </w:p>
        </w:tc>
        <w:tc>
          <w:tcPr>
            <w:tcW w:type="dxa" w:w="2646"/>
            <w:vAlign w:val="center"/>
          </w:tcPr>
          <w:p>
            <w:pPr>
              <w:keepNext/>
              <w:keepLines/>
              <w:spacing w:before="60" w:after="60" w:line="245" w:lineRule="auto"/>
            </w:pPr>
            <w:r>
              <w:rPr>
                <w:rFonts w:ascii="Times New Roman" w:hAnsi="Times New Roman" w:cs="Times New Roman"/>
                <w:b w:val="0"/>
                <w:sz w:val="20"/>
              </w:rPr>
              <w:t>Separate estimands; neither proves policy causality</w:t>
            </w:r>
          </w:p>
        </w:tc>
      </w:tr>
      <w:tr>
        <w:trPr>
          <w:cantSplit/>
        </w:trPr>
        <w:tc>
          <w:tcPr>
            <w:tcW w:type="dxa" w:w="1925"/>
            <w:vAlign w:val="center"/>
          </w:tcPr>
          <w:p>
            <w:pPr>
              <w:keepNext/>
              <w:keepLines/>
              <w:spacing w:before="60" w:after="60" w:line="245" w:lineRule="auto"/>
            </w:pPr>
            <w:r>
              <w:rPr>
                <w:rFonts w:ascii="Times New Roman" w:hAnsi="Times New Roman" w:cs="Times New Roman"/>
                <w:b w:val="0"/>
                <w:sz w:val="20"/>
              </w:rPr>
              <w:t>Composition sensitivity</w:t>
            </w:r>
          </w:p>
        </w:tc>
        <w:tc>
          <w:tcPr>
            <w:tcW w:type="dxa" w:w="2587"/>
            <w:vAlign w:val="center"/>
          </w:tcPr>
          <w:p>
            <w:pPr>
              <w:keepNext/>
              <w:keepLines/>
              <w:spacing w:before="60" w:after="60" w:line="245" w:lineRule="auto"/>
            </w:pPr>
            <w:r>
              <w:rPr>
                <w:rFonts w:ascii="Times New Roman" w:hAnsi="Times New Roman" w:cs="Times New Roman"/>
                <w:b w:val="0"/>
                <w:sz w:val="20"/>
              </w:rPr>
              <w:t>Weighted correlation difference</w:t>
            </w:r>
          </w:p>
        </w:tc>
        <w:tc>
          <w:tcPr>
            <w:tcW w:type="dxa" w:w="2707"/>
            <w:vAlign w:val="center"/>
          </w:tcPr>
          <w:p>
            <w:pPr>
              <w:keepNext/>
              <w:keepLines/>
              <w:spacing w:before="60" w:after="60" w:line="245" w:lineRule="auto"/>
            </w:pPr>
            <w:r>
              <w:rPr>
                <w:rFonts w:ascii="Times New Roman" w:hAnsi="Times New Roman" w:cs="Times New Roman"/>
                <w:b w:val="0"/>
                <w:sz w:val="20"/>
              </w:rPr>
              <w:t>Exploratory 97.5% intervals; 95% paired-change intervals</w:t>
            </w:r>
          </w:p>
        </w:tc>
        <w:tc>
          <w:tcPr>
            <w:tcW w:type="dxa" w:w="2646"/>
            <w:vAlign w:val="center"/>
          </w:tcPr>
          <w:p>
            <w:pPr>
              <w:keepNext/>
              <w:keepLines/>
              <w:spacing w:before="60" w:after="60" w:line="245" w:lineRule="auto"/>
            </w:pPr>
            <w:r>
              <w:rPr>
                <w:rFonts w:ascii="Times New Roman" w:hAnsi="Times New Roman" w:cs="Times New Roman"/>
                <w:b w:val="0"/>
                <w:sz w:val="20"/>
              </w:rPr>
              <w:t>Selected-moment comparison; incomplete volume-distribution balance</w:t>
            </w:r>
          </w:p>
        </w:tc>
      </w:tr>
      <w:tr>
        <w:trPr>
          <w:cantSplit/>
        </w:trPr>
        <w:tc>
          <w:tcPr>
            <w:tcW w:type="dxa" w:w="1925"/>
            <w:vAlign w:val="center"/>
          </w:tcPr>
          <w:p>
            <w:pPr>
              <w:keepNext/>
              <w:keepLines/>
              <w:spacing w:before="60" w:after="60" w:line="245" w:lineRule="auto"/>
            </w:pPr>
            <w:r>
              <w:rPr>
                <w:rFonts w:ascii="Times New Roman" w:hAnsi="Times New Roman" w:cs="Times New Roman"/>
                <w:b w:val="0"/>
                <w:sz w:val="20"/>
              </w:rPr>
              <w:t>Additional 2026 period</w:t>
            </w:r>
          </w:p>
        </w:tc>
        <w:tc>
          <w:tcPr>
            <w:tcW w:type="dxa" w:w="2587"/>
            <w:vAlign w:val="center"/>
          </w:tcPr>
          <w:p>
            <w:pPr>
              <w:keepNext/>
              <w:keepLines/>
              <w:spacing w:before="60" w:after="60" w:line="245" w:lineRule="auto"/>
            </w:pPr>
            <w:r>
              <w:rPr>
                <w:rFonts w:ascii="Times New Roman" w:hAnsi="Times New Roman" w:cs="Times New Roman"/>
                <w:b w:val="0"/>
                <w:sz w:val="20"/>
              </w:rPr>
              <w:t>Re-estimated slope and correlation</w:t>
            </w:r>
          </w:p>
        </w:tc>
        <w:tc>
          <w:tcPr>
            <w:tcW w:type="dxa" w:w="2707"/>
            <w:vAlign w:val="center"/>
          </w:tcPr>
          <w:p>
            <w:pPr>
              <w:keepNext/>
              <w:keepLines/>
              <w:spacing w:before="60" w:after="60" w:line="245" w:lineRule="auto"/>
            </w:pPr>
            <w:r>
              <w:rPr>
                <w:rFonts w:ascii="Times New Roman" w:hAnsi="Times New Roman" w:cs="Times New Roman"/>
                <w:b w:val="0"/>
                <w:sz w:val="20"/>
              </w:rPr>
              <w:t>Nine-month diagnostics; finite percentile and deletion ranges</w:t>
            </w:r>
          </w:p>
        </w:tc>
        <w:tc>
          <w:tcPr>
            <w:tcW w:type="dxa" w:w="2646"/>
            <w:vAlign w:val="center"/>
          </w:tcPr>
          <w:p>
            <w:pPr>
              <w:keepNext/>
              <w:keepLines/>
              <w:spacing w:before="60" w:after="60" w:line="245" w:lineRule="auto"/>
            </w:pPr>
            <w:r>
              <w:rPr>
                <w:rFonts w:ascii="Times New Roman" w:hAnsi="Times New Roman" w:cs="Times New Roman"/>
                <w:b w:val="0"/>
                <w:sz w:val="20"/>
              </w:rPr>
              <w:t>New-time description, not a frozen-model forecast</w:t>
            </w:r>
          </w:p>
        </w:tc>
      </w:tr>
      <w:tr>
        <w:trPr>
          <w:cantSplit/>
        </w:trPr>
        <w:tc>
          <w:tcPr>
            <w:tcW w:type="dxa" w:w="1925"/>
            <w:vAlign w:val="center"/>
          </w:tcPr>
          <w:p>
            <w:pPr>
              <w:keepNext/>
              <w:keepLines/>
              <w:spacing w:before="60" w:after="60" w:line="245" w:lineRule="auto"/>
            </w:pPr>
            <w:r>
              <w:rPr>
                <w:rFonts w:ascii="Times New Roman" w:hAnsi="Times New Roman" w:cs="Times New Roman"/>
                <w:b w:val="0"/>
                <w:sz w:val="20"/>
              </w:rPr>
              <w:t>German reported-price relation</w:t>
            </w:r>
          </w:p>
        </w:tc>
        <w:tc>
          <w:tcPr>
            <w:tcW w:type="dxa" w:w="2587"/>
            <w:vAlign w:val="center"/>
          </w:tcPr>
          <w:p>
            <w:pPr>
              <w:keepNext/>
              <w:keepLines/>
              <w:spacing w:before="60" w:after="60" w:line="245" w:lineRule="auto"/>
            </w:pPr>
            <w:r>
              <w:rPr>
                <w:rFonts w:ascii="Times New Roman" w:hAnsi="Times New Roman" w:cs="Times New Roman"/>
                <w:b w:val="0"/>
                <w:sz w:val="20"/>
              </w:rPr>
              <w:t>Signed-deviation coefficient and fitted interquartile contrast</w:t>
            </w:r>
          </w:p>
        </w:tc>
        <w:tc>
          <w:tcPr>
            <w:tcW w:type="dxa" w:w="2707"/>
            <w:vAlign w:val="center"/>
          </w:tcPr>
          <w:p>
            <w:pPr>
              <w:keepNext/>
              <w:keepLines/>
              <w:spacing w:before="60" w:after="60" w:line="245" w:lineRule="auto"/>
            </w:pPr>
            <w:r>
              <w:rPr>
                <w:rFonts w:ascii="Times New Roman" w:hAnsi="Times New Roman" w:cs="Times New Roman"/>
                <w:b w:val="0"/>
                <w:sz w:val="20"/>
              </w:rPr>
              <w:t>CR1-t and CV3J intervals; one restricted wild-cluster test</w:t>
            </w:r>
          </w:p>
        </w:tc>
        <w:tc>
          <w:tcPr>
            <w:tcW w:type="dxa" w:w="2646"/>
            <w:vAlign w:val="center"/>
          </w:tcPr>
          <w:p>
            <w:pPr>
              <w:keepNext/>
              <w:keepLines/>
              <w:spacing w:before="60" w:after="60" w:line="245" w:lineRule="auto"/>
            </w:pPr>
            <w:r>
              <w:rPr>
                <w:rFonts w:ascii="Times New Roman" w:hAnsi="Times New Roman" w:cs="Times New Roman"/>
                <w:b w:val="0"/>
                <w:sz w:val="20"/>
              </w:rPr>
              <w:t>Completed matched-subsample conditional analysis, not causal or predictive validation</w:t>
            </w:r>
          </w:p>
        </w:tc>
      </w:tr>
    </w:tbl>
    <w:p>
      <w:pPr>
        <w:pStyle w:val="TableNote"/>
        <w:keepNext w:val="0"/>
        <w:keepLines/>
        <w:pageBreakBefore w:val="0"/>
        <w:ind w:left="0" w:right="0" w:firstLine="0"/>
      </w:pPr>
      <w:r>
        <w:rPr>
          <w:rFonts w:ascii="Times New Roman" w:hAnsi="Times New Roman" w:cs="Times New Roman"/>
          <w:sz w:val="19"/>
        </w:rPr>
        <w:t>Note: The price study has been completed and is documented below. Its one primary signed-outcome test and three secondary specifications are not confirmatory replications. No interval family adjusts the entire historical research process. Exact short-axis enumeration in the separate quantity extension does not imply exact repeated-sample coverage.</w:t>
      </w:r>
    </w:p>
    <w:p>
      <w:pPr>
        <w:pStyle w:val="Heading2"/>
        <w:keepNext/>
        <w:pageBreakBefore w:val="0"/>
        <w:ind w:left="0" w:right="0" w:firstLine="0"/>
      </w:pPr>
      <w:r>
        <w:rPr>
          <w:rFonts w:ascii="Times New Roman" w:hAnsi="Times New Roman" w:cs="Times New Roman"/>
          <w:sz w:val="23"/>
        </w:rPr>
        <w:t>S14 Price estimand, conditioning set and descriptive context</w:t>
      </w:r>
    </w:p>
    <w:p>
      <w:pPr>
        <w:pStyle w:val="BodyText"/>
        <w:keepNext w:val="0"/>
        <w:keepLines/>
        <w:pageBreakBefore w:val="0"/>
        <w:spacing w:line="269" w:lineRule="auto" w:before="0" w:after="120"/>
        <w:ind w:left="0" w:right="0" w:firstLine="0"/>
      </w:pPr>
      <w:r>
        <w:rPr>
          <w:rFonts w:ascii="Times New Roman" w:hAnsi="Times New Roman" w:cs="Times New Roman"/>
          <w:sz w:val="23"/>
        </w:rPr>
        <w:t>The response is the official signed numeric percentage-point field multiplied by 100. Printed zero is retained at source precision; it is not a no-trade indicator or certification of identical unrounded prices. The focal covariate is log(1 + reported bid SD / reported bid mean). The fixed baseline contains an intercept, log auction volume, log total and successful bidder counts, log reported cover ratio, the submitted-price maximum minus minimum in EUR, log same-auction clearing price, observed-year indicators, and a last-trade indicator when it varies. The extended model adds only the focal covariate on the same rows. The primary matrix has rank 14 with 226 residual degrees of freedom. The 236-row best-bid model omits its constant reference indicator and has rank 13. The one-sided nature of a best bid, and the fact that reference prices are not midpoints, restrict the interpretation.</w:t>
      </w:r>
    </w:p>
    <w:p>
      <w:pPr>
        <w:pStyle w:val="BodyText"/>
        <w:keepNext w:val="0"/>
        <w:pageBreakBefore w:val="0"/>
        <w:spacing w:line="269" w:lineRule="auto" w:before="0" w:after="120"/>
        <w:ind w:left="0" w:right="0" w:firstLine="0"/>
      </w:pPr>
      <w:r>
        <w:rPr>
          <w:rFonts w:ascii="Times New Roman" w:hAnsi="Times New Roman" w:cs="Times New Roman"/>
          <w:sz w:val="23"/>
        </w:rPr>
        <w:t>The source file for prices contains total bid volume B, not the reported cover-ratio field R. Eight shared quantities are cross-checked against the original annual EEX files. R is obtained directly from those original workbooks rather than replaced by B/V. No raw SD of awards is added to the price model, and no bid-to-award-to-price mediation relation is estimated.</w:t>
      </w:r>
    </w:p>
    <w:p>
      <w:pPr>
        <w:pStyle w:val="Caption"/>
        <w:keepNext/>
        <w:keepLines/>
        <w:pageBreakBefore w:val="0"/>
        <w:spacing w:before="160" w:after="80"/>
        <w:ind w:left="0" w:right="0" w:firstLine="0"/>
      </w:pPr>
      <w:r>
        <w:rPr>
          <w:rFonts w:ascii="Times New Roman" w:hAnsi="Times New Roman" w:cs="Times New Roman"/>
          <w:b/>
          <w:sz w:val="21"/>
        </w:rPr>
        <w:t>Table S11 Reported price-deviation descriptions in the three fixed samples</w:t>
      </w:r>
    </w:p>
    <w:p>
      <w:pPr>
        <w:pStyle w:val="BodyText"/>
        <w:keepNext/>
        <w:pageBreakBefore w:val="0"/>
        <w:spacing w:after="60"/>
        <w:ind w:left="0" w:right="0" w:firstLine="0"/>
      </w:pPr>
      <w:r>
        <w:rPr>
          <w:rFonts w:ascii="Times New Roman" w:hAnsi="Times New Roman" w:cs="Times New Roman"/>
          <w:b/>
          <w:sz w:val="23"/>
        </w:rPr>
        <w:t>Panel A: Signed deviations</w:t>
      </w:r>
    </w:p>
    <w:tbl>
      <w:tblPr>
        <w:tblW w:type="dxa" w:w="9865"/>
        <w:tblLayout w:type="fixed"/>
        <w:tblLook w:firstColumn="1" w:firstRow="1" w:lastColumn="0" w:lastRow="0" w:noHBand="0" w:noVBand="1" w:val="04A0"/>
        <w:jc w:val="center"/>
        <w:tblBorders>
          <w:top w:val="single" w:sz="8"/>
          <w:bottom w:val="single" w:sz="8"/>
          <w:left w:val="nil"/>
          <w:right w:val="nil"/>
          <w:insideH w:val="nil"/>
          <w:insideV w:val="nil"/>
        </w:tblBorders>
      </w:tblPr>
      <w:tblGrid>
        <w:gridCol w:w="1815"/>
        <w:gridCol w:w="947"/>
        <w:gridCol w:w="947"/>
        <w:gridCol w:w="947"/>
        <w:gridCol w:w="1973"/>
        <w:gridCol w:w="2052"/>
        <w:gridCol w:w="1184"/>
      </w:tblGrid>
      <w:tr>
        <w:trPr>
          <w:tblHeader w:val="true"/>
          <w:cantSplit/>
        </w:trPr>
        <w:tc>
          <w:tcPr>
            <w:tcW w:type="dxa" w:w="1815"/>
            <w:vAlign w:val="center"/>
            <w:tcBorders>
              <w:bottom w:val="single" w:sz="6"/>
            </w:tcBorders>
          </w:tcPr>
          <w:p>
            <w:pPr>
              <w:keepNext/>
              <w:keepLines/>
              <w:spacing w:before="60" w:after="60" w:line="245" w:lineRule="auto"/>
              <w:jc w:val="left"/>
            </w:pPr>
            <w:r>
              <w:rPr>
                <w:rFonts w:ascii="Times New Roman" w:hAnsi="Times New Roman" w:cs="Times New Roman"/>
                <w:b/>
                <w:sz w:val="20"/>
              </w:rPr>
              <w:t>Sample</w:t>
            </w:r>
          </w:p>
        </w:tc>
        <w:tc>
          <w:tcPr>
            <w:tcW w:type="dxa" w:w="947"/>
            <w:vAlign w:val="center"/>
            <w:tcBorders>
              <w:bottom w:val="single" w:sz="6"/>
            </w:tcBorders>
          </w:tcPr>
          <w:p>
            <w:pPr>
              <w:keepNext/>
              <w:keepLines/>
              <w:spacing w:before="60" w:after="60" w:line="245" w:lineRule="auto"/>
              <w:jc w:val="right"/>
            </w:pPr>
            <w:r>
              <w:rPr>
                <w:rFonts w:ascii="Times New Roman" w:hAnsi="Times New Roman" w:cs="Times New Roman"/>
                <w:b/>
                <w:sz w:val="20"/>
                <w:i w:val="1"/>
              </w:rPr>
              <w:t xml:space="preserve">n</w:t>
            </w:r>
            <w:r>
              <w:rPr>
                <w:rFonts w:ascii="Times New Roman" w:hAnsi="Times New Roman" w:cs="Times New Roman"/>
                <w:b/>
                <w:sz w:val="20"/>
              </w:rPr>
              <w:t xml:space="preserve"> / </w:t>
            </w:r>
            <w:r>
              <w:rPr>
                <w:rFonts w:ascii="Times New Roman" w:hAnsi="Times New Roman" w:cs="Times New Roman"/>
                <w:b/>
                <w:sz w:val="20"/>
                <w:i w:val="1"/>
              </w:rPr>
              <w:t xml:space="preserve">G</w:t>
            </w:r>
          </w:p>
        </w:tc>
        <w:tc>
          <w:tcPr>
            <w:tcW w:type="dxa" w:w="947"/>
            <w:vAlign w:val="center"/>
            <w:tcBorders>
              <w:bottom w:val="single" w:sz="6"/>
            </w:tcBorders>
          </w:tcPr>
          <w:p>
            <w:pPr>
              <w:keepNext/>
              <w:keepLines/>
              <w:spacing w:before="60" w:after="60" w:line="245" w:lineRule="auto"/>
              <w:jc w:val="right"/>
            </w:pPr>
            <w:r>
              <w:rPr>
                <w:rFonts w:ascii="Times New Roman" w:hAnsi="Times New Roman" w:cs="Times New Roman"/>
                <w:b/>
                <w:sz w:val="20"/>
              </w:rPr>
              <w:t>Mean</w:t>
            </w:r>
          </w:p>
        </w:tc>
        <w:tc>
          <w:tcPr>
            <w:tcW w:type="dxa" w:w="947"/>
            <w:vAlign w:val="center"/>
            <w:tcBorders>
              <w:bottom w:val="single" w:sz="6"/>
            </w:tcBorders>
          </w:tcPr>
          <w:p>
            <w:pPr>
              <w:keepNext/>
              <w:keepLines/>
              <w:spacing w:before="60" w:after="60" w:line="245" w:lineRule="auto"/>
              <w:jc w:val="right"/>
            </w:pPr>
            <w:r>
              <w:rPr>
                <w:rFonts w:ascii="Times New Roman" w:hAnsi="Times New Roman" w:cs="Times New Roman"/>
                <w:b/>
                <w:sz w:val="20"/>
              </w:rPr>
              <w:t>Median</w:t>
            </w:r>
          </w:p>
        </w:tc>
        <w:tc>
          <w:tcPr>
            <w:tcW w:type="dxa" w:w="1973"/>
            <w:vAlign w:val="center"/>
            <w:tcBorders>
              <w:bottom w:val="single" w:sz="6"/>
            </w:tcBorders>
          </w:tcPr>
          <w:p>
            <w:pPr>
              <w:keepNext/>
              <w:keepLines/>
              <w:spacing w:before="60" w:after="60" w:line="245" w:lineRule="auto"/>
              <w:jc w:val="right"/>
            </w:pPr>
            <w:r>
              <w:rPr>
                <w:rFonts w:ascii="Times New Roman" w:hAnsi="Times New Roman" w:cs="Times New Roman"/>
                <w:b/>
                <w:sz w:val="20"/>
              </w:rPr>
              <w:t>Q1–Q3</w:t>
            </w:r>
          </w:p>
        </w:tc>
        <w:tc>
          <w:tcPr>
            <w:tcW w:type="dxa" w:w="2052"/>
            <w:vAlign w:val="center"/>
            <w:tcBorders>
              <w:bottom w:val="single" w:sz="6"/>
            </w:tcBorders>
          </w:tcPr>
          <w:p>
            <w:pPr>
              <w:keepNext/>
              <w:keepLines/>
              <w:spacing w:before="60" w:after="60" w:line="245" w:lineRule="auto"/>
              <w:jc w:val="right"/>
            </w:pPr>
            <w:r>
              <w:rPr>
                <w:rFonts w:ascii="Times New Roman" w:hAnsi="Times New Roman" w:cs="Times New Roman"/>
                <w:b/>
                <w:sz w:val="20"/>
              </w:rPr>
              <w:t>Range</w:t>
            </w:r>
          </w:p>
        </w:tc>
        <w:tc>
          <w:tcPr>
            <w:tcW w:type="dxa" w:w="1184"/>
            <w:vAlign w:val="center"/>
            <w:tcBorders>
              <w:bottom w:val="single" w:sz="6"/>
            </w:tcBorders>
          </w:tcPr>
          <w:p>
            <w:pPr>
              <w:keepNext/>
              <w:keepLines/>
              <w:spacing w:before="60" w:after="60" w:line="245" w:lineRule="auto"/>
              <w:jc w:val="right"/>
            </w:pPr>
            <w:r>
              <w:rPr>
                <w:rFonts w:ascii="Times New Roman" w:hAnsi="Times New Roman" w:cs="Times New Roman"/>
                <w:b/>
                <w:sz w:val="20"/>
              </w:rPr>
              <w:t>SD</w:t>
            </w:r>
          </w:p>
        </w:tc>
      </w:tr>
      <w:tr>
        <w:trPr>
          <w:cantSplit/>
        </w:trPr>
        <w:tc>
          <w:tcPr>
            <w:tcW w:type="dxa" w:w="1815"/>
            <w:vAlign w:val="center"/>
          </w:tcPr>
          <w:p>
            <w:pPr>
              <w:keepNext/>
              <w:keepLines/>
              <w:spacing w:before="60" w:after="60" w:line="245" w:lineRule="auto"/>
              <w:jc w:val="left"/>
            </w:pPr>
            <w:r>
              <w:rPr>
                <w:rFonts w:ascii="Times New Roman" w:hAnsi="Times New Roman" w:cs="Times New Roman"/>
                <w:b w:val="0"/>
                <w:sz w:val="20"/>
              </w:rPr>
              <w:t>Primary</w:t>
            </w:r>
          </w:p>
        </w:tc>
        <w:tc>
          <w:tcPr>
            <w:tcW w:type="dxa" w:w="947"/>
            <w:vAlign w:val="center"/>
          </w:tcPr>
          <w:p>
            <w:pPr>
              <w:keepNext/>
              <w:keepLines/>
              <w:spacing w:before="60" w:after="60" w:line="245" w:lineRule="auto"/>
              <w:jc w:val="right"/>
            </w:pPr>
            <w:r>
              <w:rPr>
                <w:rFonts w:ascii="Times New Roman" w:hAnsi="Times New Roman" w:cs="Times New Roman"/>
                <w:b w:val="0"/>
                <w:sz w:val="20"/>
              </w:rPr>
              <w:t>240 / 21</w:t>
            </w:r>
          </w:p>
        </w:tc>
        <w:tc>
          <w:tcPr>
            <w:tcW w:type="dxa" w:w="947"/>
            <w:vAlign w:val="center"/>
          </w:tcPr>
          <w:p>
            <w:pPr>
              <w:keepNext/>
              <w:keepLines/>
              <w:spacing w:before="60" w:after="60" w:line="245" w:lineRule="auto"/>
              <w:jc w:val="right"/>
            </w:pPr>
            <w:r>
              <w:rPr>
                <w:rFonts w:ascii="Times New Roman" w:hAnsi="Times New Roman" w:cs="Times New Roman"/>
                <w:b w:val="0"/>
                <w:sz w:val="20"/>
              </w:rPr>
              <w:t>−2.80</w:t>
            </w:r>
          </w:p>
        </w:tc>
        <w:tc>
          <w:tcPr>
            <w:tcW w:type="dxa" w:w="947"/>
            <w:vAlign w:val="center"/>
          </w:tcPr>
          <w:p>
            <w:pPr>
              <w:keepNext/>
              <w:keepLines/>
              <w:spacing w:before="60" w:after="60" w:line="245" w:lineRule="auto"/>
              <w:jc w:val="right"/>
            </w:pPr>
            <w:r>
              <w:rPr>
                <w:rFonts w:ascii="Times New Roman" w:hAnsi="Times New Roman" w:cs="Times New Roman"/>
                <w:b w:val="0"/>
                <w:sz w:val="20"/>
              </w:rPr>
              <w:t>−7.00</w:t>
            </w:r>
          </w:p>
        </w:tc>
        <w:tc>
          <w:tcPr>
            <w:tcW w:type="dxa" w:w="1973"/>
            <w:vAlign w:val="center"/>
          </w:tcPr>
          <w:p>
            <w:pPr>
              <w:keepNext/>
              <w:keepLines/>
              <w:spacing w:before="60" w:after="60" w:line="245" w:lineRule="auto"/>
              <w:jc w:val="right"/>
            </w:pPr>
            <w:r>
              <w:rPr>
                <w:rFonts w:ascii="Times New Roman" w:hAnsi="Times New Roman" w:cs="Times New Roman"/>
                <w:b w:val="0"/>
                <w:sz w:val="20"/>
              </w:rPr>
              <w:t>[−29.00, 17.25]</w:t>
            </w:r>
          </w:p>
        </w:tc>
        <w:tc>
          <w:tcPr>
            <w:tcW w:type="dxa" w:w="2052"/>
            <w:vAlign w:val="center"/>
          </w:tcPr>
          <w:p>
            <w:pPr>
              <w:keepNext/>
              <w:keepLines/>
              <w:spacing w:before="60" w:after="60" w:line="245" w:lineRule="auto"/>
              <w:jc w:val="right"/>
            </w:pPr>
            <w:r>
              <w:rPr>
                <w:rFonts w:ascii="Times New Roman" w:hAnsi="Times New Roman" w:cs="Times New Roman"/>
                <w:b w:val="0"/>
                <w:sz w:val="20"/>
              </w:rPr>
              <w:t>[−174.00, 171.00]</w:t>
            </w:r>
          </w:p>
        </w:tc>
        <w:tc>
          <w:tcPr>
            <w:tcW w:type="dxa" w:w="1184"/>
            <w:vAlign w:val="center"/>
          </w:tcPr>
          <w:p>
            <w:pPr>
              <w:keepNext/>
              <w:keepLines/>
              <w:spacing w:before="60" w:after="60" w:line="245" w:lineRule="auto"/>
              <w:jc w:val="right"/>
            </w:pPr>
            <w:r>
              <w:rPr>
                <w:rFonts w:ascii="Times New Roman" w:hAnsi="Times New Roman" w:cs="Times New Roman"/>
                <w:b w:val="0"/>
                <w:sz w:val="20"/>
              </w:rPr>
              <w:t>46.34</w:t>
            </w:r>
          </w:p>
        </w:tc>
      </w:tr>
      <w:tr>
        <w:trPr>
          <w:cantSplit/>
        </w:trPr>
        <w:tc>
          <w:tcPr>
            <w:tcW w:type="dxa" w:w="1815"/>
            <w:vAlign w:val="center"/>
          </w:tcPr>
          <w:p>
            <w:pPr>
              <w:keepNext/>
              <w:keepLines/>
              <w:spacing w:before="60" w:after="60" w:line="245" w:lineRule="auto"/>
              <w:jc w:val="left"/>
            </w:pPr>
            <w:r>
              <w:rPr>
                <w:rFonts w:ascii="Times New Roman" w:hAnsi="Times New Roman" w:cs="Times New Roman"/>
                <w:b w:val="0"/>
                <w:sz w:val="20"/>
              </w:rPr>
              <w:t>No row flags</w:t>
            </w:r>
          </w:p>
        </w:tc>
        <w:tc>
          <w:tcPr>
            <w:tcW w:type="dxa" w:w="947"/>
            <w:vAlign w:val="center"/>
          </w:tcPr>
          <w:p>
            <w:pPr>
              <w:keepNext/>
              <w:keepLines/>
              <w:spacing w:before="60" w:after="60" w:line="245" w:lineRule="auto"/>
              <w:jc w:val="right"/>
            </w:pPr>
            <w:r>
              <w:rPr>
                <w:rFonts w:ascii="Times New Roman" w:hAnsi="Times New Roman" w:cs="Times New Roman"/>
                <w:b w:val="0"/>
                <w:sz w:val="20"/>
              </w:rPr>
              <w:t>203 / 18</w:t>
            </w:r>
          </w:p>
        </w:tc>
        <w:tc>
          <w:tcPr>
            <w:tcW w:type="dxa" w:w="947"/>
            <w:vAlign w:val="center"/>
          </w:tcPr>
          <w:p>
            <w:pPr>
              <w:keepNext/>
              <w:keepLines/>
              <w:spacing w:before="60" w:after="60" w:line="245" w:lineRule="auto"/>
              <w:jc w:val="right"/>
            </w:pPr>
            <w:r>
              <w:rPr>
                <w:rFonts w:ascii="Times New Roman" w:hAnsi="Times New Roman" w:cs="Times New Roman"/>
                <w:b w:val="0"/>
                <w:sz w:val="20"/>
              </w:rPr>
              <w:t>−2.79</w:t>
            </w:r>
          </w:p>
        </w:tc>
        <w:tc>
          <w:tcPr>
            <w:tcW w:type="dxa" w:w="947"/>
            <w:vAlign w:val="center"/>
          </w:tcPr>
          <w:p>
            <w:pPr>
              <w:keepNext/>
              <w:keepLines/>
              <w:spacing w:before="60" w:after="60" w:line="245" w:lineRule="auto"/>
              <w:jc w:val="right"/>
            </w:pPr>
            <w:r>
              <w:rPr>
                <w:rFonts w:ascii="Times New Roman" w:hAnsi="Times New Roman" w:cs="Times New Roman"/>
                <w:b w:val="0"/>
                <w:sz w:val="20"/>
              </w:rPr>
              <w:t>−5.00</w:t>
            </w:r>
          </w:p>
        </w:tc>
        <w:tc>
          <w:tcPr>
            <w:tcW w:type="dxa" w:w="1973"/>
            <w:vAlign w:val="center"/>
          </w:tcPr>
          <w:p>
            <w:pPr>
              <w:keepNext/>
              <w:keepLines/>
              <w:spacing w:before="60" w:after="60" w:line="245" w:lineRule="auto"/>
              <w:jc w:val="right"/>
            </w:pPr>
            <w:r>
              <w:rPr>
                <w:rFonts w:ascii="Times New Roman" w:hAnsi="Times New Roman" w:cs="Times New Roman"/>
                <w:b w:val="0"/>
                <w:sz w:val="20"/>
              </w:rPr>
              <w:t>[−27.00, 15.50]</w:t>
            </w:r>
          </w:p>
        </w:tc>
        <w:tc>
          <w:tcPr>
            <w:tcW w:type="dxa" w:w="2052"/>
            <w:vAlign w:val="center"/>
          </w:tcPr>
          <w:p>
            <w:pPr>
              <w:keepNext/>
              <w:keepLines/>
              <w:spacing w:before="60" w:after="60" w:line="245" w:lineRule="auto"/>
              <w:jc w:val="right"/>
            </w:pPr>
            <w:r>
              <w:rPr>
                <w:rFonts w:ascii="Times New Roman" w:hAnsi="Times New Roman" w:cs="Times New Roman"/>
                <w:b w:val="0"/>
                <w:sz w:val="20"/>
              </w:rPr>
              <w:t>[−174.00, 153.00]</w:t>
            </w:r>
          </w:p>
        </w:tc>
        <w:tc>
          <w:tcPr>
            <w:tcW w:type="dxa" w:w="1184"/>
            <w:vAlign w:val="center"/>
          </w:tcPr>
          <w:p>
            <w:pPr>
              <w:keepNext/>
              <w:keepLines/>
              <w:spacing w:before="60" w:after="60" w:line="245" w:lineRule="auto"/>
              <w:jc w:val="right"/>
            </w:pPr>
            <w:r>
              <w:rPr>
                <w:rFonts w:ascii="Times New Roman" w:hAnsi="Times New Roman" w:cs="Times New Roman"/>
                <w:b w:val="0"/>
                <w:sz w:val="20"/>
              </w:rPr>
              <w:t>43.23</w:t>
            </w:r>
          </w:p>
        </w:tc>
      </w:tr>
      <w:tr>
        <w:trPr>
          <w:cantSplit/>
        </w:trPr>
        <w:tc>
          <w:tcPr>
            <w:tcW w:type="dxa" w:w="1815"/>
            <w:vAlign w:val="center"/>
          </w:tcPr>
          <w:p>
            <w:pPr>
              <w:keepNext/>
              <w:keepLines/>
              <w:spacing w:before="60" w:after="60" w:line="245" w:lineRule="auto"/>
              <w:jc w:val="left"/>
            </w:pPr>
            <w:r>
              <w:rPr>
                <w:rFonts w:ascii="Times New Roman" w:hAnsi="Times New Roman" w:cs="Times New Roman"/>
                <w:b w:val="0"/>
                <w:sz w:val="20"/>
              </w:rPr>
              <w:t>Best bid only</w:t>
            </w:r>
          </w:p>
        </w:tc>
        <w:tc>
          <w:tcPr>
            <w:tcW w:type="dxa" w:w="947"/>
            <w:vAlign w:val="center"/>
          </w:tcPr>
          <w:p>
            <w:pPr>
              <w:keepNext/>
              <w:keepLines/>
              <w:spacing w:before="60" w:after="60" w:line="245" w:lineRule="auto"/>
              <w:jc w:val="right"/>
            </w:pPr>
            <w:r>
              <w:rPr>
                <w:rFonts w:ascii="Times New Roman" w:hAnsi="Times New Roman" w:cs="Times New Roman"/>
                <w:b w:val="0"/>
                <w:sz w:val="20"/>
              </w:rPr>
              <w:t>236 / 21</w:t>
            </w:r>
          </w:p>
        </w:tc>
        <w:tc>
          <w:tcPr>
            <w:tcW w:type="dxa" w:w="947"/>
            <w:vAlign w:val="center"/>
          </w:tcPr>
          <w:p>
            <w:pPr>
              <w:keepNext/>
              <w:keepLines/>
              <w:spacing w:before="60" w:after="60" w:line="245" w:lineRule="auto"/>
              <w:jc w:val="right"/>
            </w:pPr>
            <w:r>
              <w:rPr>
                <w:rFonts w:ascii="Times New Roman" w:hAnsi="Times New Roman" w:cs="Times New Roman"/>
                <w:b w:val="0"/>
                <w:sz w:val="20"/>
              </w:rPr>
              <w:t>−2.14</w:t>
            </w:r>
          </w:p>
        </w:tc>
        <w:tc>
          <w:tcPr>
            <w:tcW w:type="dxa" w:w="947"/>
            <w:vAlign w:val="center"/>
          </w:tcPr>
          <w:p>
            <w:pPr>
              <w:keepNext/>
              <w:keepLines/>
              <w:spacing w:before="60" w:after="60" w:line="245" w:lineRule="auto"/>
              <w:jc w:val="right"/>
            </w:pPr>
            <w:r>
              <w:rPr>
                <w:rFonts w:ascii="Times New Roman" w:hAnsi="Times New Roman" w:cs="Times New Roman"/>
                <w:b w:val="0"/>
                <w:sz w:val="20"/>
              </w:rPr>
              <w:t>−7.00</w:t>
            </w:r>
          </w:p>
        </w:tc>
        <w:tc>
          <w:tcPr>
            <w:tcW w:type="dxa" w:w="1973"/>
            <w:vAlign w:val="center"/>
          </w:tcPr>
          <w:p>
            <w:pPr>
              <w:keepNext/>
              <w:keepLines/>
              <w:spacing w:before="60" w:after="60" w:line="245" w:lineRule="auto"/>
              <w:jc w:val="right"/>
            </w:pPr>
            <w:r>
              <w:rPr>
                <w:rFonts w:ascii="Times New Roman" w:hAnsi="Times New Roman" w:cs="Times New Roman"/>
                <w:b w:val="0"/>
                <w:sz w:val="20"/>
              </w:rPr>
              <w:t>[−29.00, 18.00]</w:t>
            </w:r>
          </w:p>
        </w:tc>
        <w:tc>
          <w:tcPr>
            <w:tcW w:type="dxa" w:w="2052"/>
            <w:vAlign w:val="center"/>
          </w:tcPr>
          <w:p>
            <w:pPr>
              <w:keepNext/>
              <w:keepLines/>
              <w:spacing w:before="60" w:after="60" w:line="245" w:lineRule="auto"/>
              <w:jc w:val="right"/>
            </w:pPr>
            <w:r>
              <w:rPr>
                <w:rFonts w:ascii="Times New Roman" w:hAnsi="Times New Roman" w:cs="Times New Roman"/>
                <w:b w:val="0"/>
                <w:sz w:val="20"/>
              </w:rPr>
              <w:t>[−174.00, 171.00]</w:t>
            </w:r>
          </w:p>
        </w:tc>
        <w:tc>
          <w:tcPr>
            <w:tcW w:type="dxa" w:w="1184"/>
            <w:vAlign w:val="center"/>
          </w:tcPr>
          <w:p>
            <w:pPr>
              <w:keepNext/>
              <w:keepLines/>
              <w:spacing w:before="60" w:after="60" w:line="245" w:lineRule="auto"/>
              <w:jc w:val="right"/>
            </w:pPr>
            <w:r>
              <w:rPr>
                <w:rFonts w:ascii="Times New Roman" w:hAnsi="Times New Roman" w:cs="Times New Roman"/>
                <w:b w:val="0"/>
                <w:sz w:val="20"/>
              </w:rPr>
              <w:t>46.19</w:t>
            </w:r>
          </w:p>
        </w:tc>
      </w:tr>
    </w:tbl>
    <w:p>
      <w:pPr>
        <w:pStyle w:val="BodyText"/>
        <w:keepNext/>
        <w:pageBreakBefore w:val="0"/>
        <w:spacing w:after="60"/>
        <w:ind w:left="0" w:right="0" w:firstLine="0"/>
      </w:pPr>
      <w:r>
        <w:rPr>
          <w:rFonts w:ascii="Times New Roman" w:hAnsi="Times New Roman" w:cs="Times New Roman"/>
          <w:b/>
          <w:sz w:val="23"/>
        </w:rPr>
        <w:t>Panel B: Absolute deviations</w:t>
      </w:r>
    </w:p>
    <w:tbl>
      <w:tblPr>
        <w:tblW w:type="dxa" w:w="9865"/>
        <w:tblLayout w:type="fixed"/>
        <w:tblLook w:firstColumn="1" w:firstRow="1" w:lastColumn="0" w:lastRow="0" w:noHBand="0" w:noVBand="1" w:val="04A0"/>
        <w:jc w:val="center"/>
        <w:tblBorders>
          <w:top w:val="single" w:sz="8"/>
          <w:bottom w:val="single" w:sz="8"/>
          <w:left w:val="nil"/>
          <w:right w:val="nil"/>
          <w:insideH w:val="nil"/>
          <w:insideV w:val="nil"/>
        </w:tblBorders>
      </w:tblPr>
      <w:tblGrid>
        <w:gridCol w:w="1815"/>
        <w:gridCol w:w="947"/>
        <w:gridCol w:w="947"/>
        <w:gridCol w:w="947"/>
        <w:gridCol w:w="1973"/>
        <w:gridCol w:w="2052"/>
        <w:gridCol w:w="1184"/>
      </w:tblGrid>
      <w:tr>
        <w:trPr>
          <w:tblHeader w:val="true"/>
          <w:cantSplit/>
        </w:trPr>
        <w:tc>
          <w:tcPr>
            <w:tcW w:type="dxa" w:w="1815"/>
            <w:vAlign w:val="center"/>
            <w:tcBorders>
              <w:bottom w:val="single" w:sz="6"/>
            </w:tcBorders>
          </w:tcPr>
          <w:p>
            <w:pPr>
              <w:keepNext/>
              <w:keepLines/>
              <w:spacing w:before="60" w:after="60" w:line="245" w:lineRule="auto"/>
              <w:jc w:val="left"/>
            </w:pPr>
            <w:r>
              <w:rPr>
                <w:rFonts w:ascii="Times New Roman" w:hAnsi="Times New Roman" w:cs="Times New Roman"/>
                <w:b/>
                <w:sz w:val="20"/>
              </w:rPr>
              <w:t>Sample</w:t>
            </w:r>
          </w:p>
        </w:tc>
        <w:tc>
          <w:tcPr>
            <w:tcW w:type="dxa" w:w="947"/>
            <w:vAlign w:val="center"/>
            <w:tcBorders>
              <w:bottom w:val="single" w:sz="6"/>
            </w:tcBorders>
          </w:tcPr>
          <w:p>
            <w:pPr>
              <w:keepNext/>
              <w:keepLines/>
              <w:spacing w:before="60" w:after="60" w:line="245" w:lineRule="auto"/>
              <w:jc w:val="right"/>
            </w:pPr>
            <w:r>
              <w:rPr>
                <w:rFonts w:ascii="Times New Roman" w:hAnsi="Times New Roman" w:cs="Times New Roman"/>
                <w:b/>
                <w:sz w:val="20"/>
                <w:i w:val="1"/>
              </w:rPr>
              <w:t xml:space="preserve">n</w:t>
            </w:r>
            <w:r>
              <w:rPr>
                <w:rFonts w:ascii="Times New Roman" w:hAnsi="Times New Roman" w:cs="Times New Roman"/>
                <w:b/>
                <w:sz w:val="20"/>
              </w:rPr>
              <w:t xml:space="preserve"> / </w:t>
            </w:r>
            <w:r>
              <w:rPr>
                <w:rFonts w:ascii="Times New Roman" w:hAnsi="Times New Roman" w:cs="Times New Roman"/>
                <w:b/>
                <w:sz w:val="20"/>
                <w:i w:val="1"/>
              </w:rPr>
              <w:t xml:space="preserve">G</w:t>
            </w:r>
          </w:p>
        </w:tc>
        <w:tc>
          <w:tcPr>
            <w:tcW w:type="dxa" w:w="947"/>
            <w:vAlign w:val="center"/>
            <w:tcBorders>
              <w:bottom w:val="single" w:sz="6"/>
            </w:tcBorders>
          </w:tcPr>
          <w:p>
            <w:pPr>
              <w:keepNext/>
              <w:keepLines/>
              <w:spacing w:before="60" w:after="60" w:line="245" w:lineRule="auto"/>
              <w:jc w:val="right"/>
            </w:pPr>
            <w:r>
              <w:rPr>
                <w:rFonts w:ascii="Times New Roman" w:hAnsi="Times New Roman" w:cs="Times New Roman"/>
                <w:b/>
                <w:sz w:val="20"/>
              </w:rPr>
              <w:t>Mean</w:t>
            </w:r>
          </w:p>
        </w:tc>
        <w:tc>
          <w:tcPr>
            <w:tcW w:type="dxa" w:w="947"/>
            <w:vAlign w:val="center"/>
            <w:tcBorders>
              <w:bottom w:val="single" w:sz="6"/>
            </w:tcBorders>
          </w:tcPr>
          <w:p>
            <w:pPr>
              <w:keepNext/>
              <w:keepLines/>
              <w:spacing w:before="60" w:after="60" w:line="245" w:lineRule="auto"/>
              <w:jc w:val="right"/>
            </w:pPr>
            <w:r>
              <w:rPr>
                <w:rFonts w:ascii="Times New Roman" w:hAnsi="Times New Roman" w:cs="Times New Roman"/>
                <w:b/>
                <w:sz w:val="20"/>
              </w:rPr>
              <w:t>Median</w:t>
            </w:r>
          </w:p>
        </w:tc>
        <w:tc>
          <w:tcPr>
            <w:tcW w:type="dxa" w:w="1973"/>
            <w:vAlign w:val="center"/>
            <w:tcBorders>
              <w:bottom w:val="single" w:sz="6"/>
            </w:tcBorders>
          </w:tcPr>
          <w:p>
            <w:pPr>
              <w:keepNext/>
              <w:keepLines/>
              <w:spacing w:before="60" w:after="60" w:line="245" w:lineRule="auto"/>
              <w:jc w:val="right"/>
            </w:pPr>
            <w:r>
              <w:rPr>
                <w:rFonts w:ascii="Times New Roman" w:hAnsi="Times New Roman" w:cs="Times New Roman"/>
                <w:b/>
                <w:sz w:val="20"/>
              </w:rPr>
              <w:t>Q1–Q3</w:t>
            </w:r>
          </w:p>
        </w:tc>
        <w:tc>
          <w:tcPr>
            <w:tcW w:type="dxa" w:w="2052"/>
            <w:vAlign w:val="center"/>
            <w:tcBorders>
              <w:bottom w:val="single" w:sz="6"/>
            </w:tcBorders>
          </w:tcPr>
          <w:p>
            <w:pPr>
              <w:keepNext/>
              <w:keepLines/>
              <w:spacing w:before="60" w:after="60" w:line="245" w:lineRule="auto"/>
              <w:jc w:val="right"/>
            </w:pPr>
            <w:r>
              <w:rPr>
                <w:rFonts w:ascii="Times New Roman" w:hAnsi="Times New Roman" w:cs="Times New Roman"/>
                <w:b/>
                <w:sz w:val="20"/>
              </w:rPr>
              <w:t>Range</w:t>
            </w:r>
          </w:p>
        </w:tc>
        <w:tc>
          <w:tcPr>
            <w:tcW w:type="dxa" w:w="1184"/>
            <w:vAlign w:val="center"/>
            <w:tcBorders>
              <w:bottom w:val="single" w:sz="6"/>
            </w:tcBorders>
          </w:tcPr>
          <w:p>
            <w:pPr>
              <w:keepNext/>
              <w:keepLines/>
              <w:spacing w:before="60" w:after="60" w:line="245" w:lineRule="auto"/>
              <w:jc w:val="right"/>
            </w:pPr>
            <w:r>
              <w:rPr>
                <w:rFonts w:ascii="Times New Roman" w:hAnsi="Times New Roman" w:cs="Times New Roman"/>
                <w:b/>
                <w:sz w:val="20"/>
              </w:rPr>
              <w:t>SD</w:t>
            </w:r>
          </w:p>
        </w:tc>
      </w:tr>
      <w:tr>
        <w:trPr>
          <w:cantSplit/>
        </w:trPr>
        <w:tc>
          <w:tcPr>
            <w:tcW w:type="dxa" w:w="1815"/>
            <w:vAlign w:val="center"/>
          </w:tcPr>
          <w:p>
            <w:pPr>
              <w:keepNext/>
              <w:keepLines/>
              <w:spacing w:before="60" w:after="60" w:line="245" w:lineRule="auto"/>
              <w:jc w:val="left"/>
            </w:pPr>
            <w:r>
              <w:rPr>
                <w:rFonts w:ascii="Times New Roman" w:hAnsi="Times New Roman" w:cs="Times New Roman"/>
                <w:b w:val="0"/>
                <w:sz w:val="20"/>
              </w:rPr>
              <w:t>Primary</w:t>
            </w:r>
          </w:p>
        </w:tc>
        <w:tc>
          <w:tcPr>
            <w:tcW w:type="dxa" w:w="947"/>
            <w:vAlign w:val="center"/>
          </w:tcPr>
          <w:p>
            <w:pPr>
              <w:keepNext/>
              <w:keepLines/>
              <w:spacing w:before="60" w:after="60" w:line="245" w:lineRule="auto"/>
              <w:jc w:val="right"/>
            </w:pPr>
            <w:r>
              <w:rPr>
                <w:rFonts w:ascii="Times New Roman" w:hAnsi="Times New Roman" w:cs="Times New Roman"/>
                <w:b w:val="0"/>
                <w:sz w:val="20"/>
              </w:rPr>
              <w:t>240 / 21</w:t>
            </w:r>
          </w:p>
        </w:tc>
        <w:tc>
          <w:tcPr>
            <w:tcW w:type="dxa" w:w="947"/>
            <w:vAlign w:val="center"/>
          </w:tcPr>
          <w:p>
            <w:pPr>
              <w:keepNext/>
              <w:keepLines/>
              <w:spacing w:before="60" w:after="60" w:line="245" w:lineRule="auto"/>
              <w:jc w:val="right"/>
            </w:pPr>
            <w:r>
              <w:rPr>
                <w:rFonts w:ascii="Times New Roman" w:hAnsi="Times New Roman" w:cs="Times New Roman"/>
                <w:b w:val="0"/>
                <w:sz w:val="20"/>
              </w:rPr>
              <w:t>33.51</w:t>
            </w:r>
          </w:p>
        </w:tc>
        <w:tc>
          <w:tcPr>
            <w:tcW w:type="dxa" w:w="947"/>
            <w:vAlign w:val="center"/>
          </w:tcPr>
          <w:p>
            <w:pPr>
              <w:keepNext/>
              <w:keepLines/>
              <w:spacing w:before="60" w:after="60" w:line="245" w:lineRule="auto"/>
              <w:jc w:val="right"/>
            </w:pPr>
            <w:r>
              <w:rPr>
                <w:rFonts w:ascii="Times New Roman" w:hAnsi="Times New Roman" w:cs="Times New Roman"/>
                <w:b w:val="0"/>
                <w:sz w:val="20"/>
              </w:rPr>
              <w:t>25.00</w:t>
            </w:r>
          </w:p>
        </w:tc>
        <w:tc>
          <w:tcPr>
            <w:tcW w:type="dxa" w:w="1973"/>
            <w:vAlign w:val="center"/>
          </w:tcPr>
          <w:p>
            <w:pPr>
              <w:keepNext/>
              <w:keepLines/>
              <w:spacing w:before="60" w:after="60" w:line="245" w:lineRule="auto"/>
              <w:jc w:val="right"/>
            </w:pPr>
            <w:r>
              <w:rPr>
                <w:rFonts w:ascii="Times New Roman" w:hAnsi="Times New Roman" w:cs="Times New Roman"/>
                <w:b w:val="0"/>
                <w:sz w:val="20"/>
              </w:rPr>
              <w:t>[11.00, 46.00]</w:t>
            </w:r>
          </w:p>
        </w:tc>
        <w:tc>
          <w:tcPr>
            <w:tcW w:type="dxa" w:w="2052"/>
            <w:vAlign w:val="center"/>
          </w:tcPr>
          <w:p>
            <w:pPr>
              <w:keepNext/>
              <w:keepLines/>
              <w:spacing w:before="60" w:after="60" w:line="245" w:lineRule="auto"/>
              <w:jc w:val="right"/>
            </w:pPr>
            <w:r>
              <w:rPr>
                <w:rFonts w:ascii="Times New Roman" w:hAnsi="Times New Roman" w:cs="Times New Roman"/>
                <w:b w:val="0"/>
                <w:sz w:val="20"/>
              </w:rPr>
              <w:t>[0.00, 174.00]</w:t>
            </w:r>
          </w:p>
        </w:tc>
        <w:tc>
          <w:tcPr>
            <w:tcW w:type="dxa" w:w="1184"/>
            <w:vAlign w:val="center"/>
          </w:tcPr>
          <w:p>
            <w:pPr>
              <w:keepNext/>
              <w:keepLines/>
              <w:spacing w:before="60" w:after="60" w:line="245" w:lineRule="auto"/>
              <w:jc w:val="right"/>
            </w:pPr>
            <w:r>
              <w:rPr>
                <w:rFonts w:ascii="Times New Roman" w:hAnsi="Times New Roman" w:cs="Times New Roman"/>
                <w:b w:val="0"/>
                <w:sz w:val="20"/>
              </w:rPr>
              <w:t>32.06</w:t>
            </w:r>
          </w:p>
        </w:tc>
      </w:tr>
      <w:tr>
        <w:trPr>
          <w:cantSplit/>
        </w:trPr>
        <w:tc>
          <w:tcPr>
            <w:tcW w:type="dxa" w:w="1815"/>
            <w:vAlign w:val="center"/>
          </w:tcPr>
          <w:p>
            <w:pPr>
              <w:keepNext/>
              <w:keepLines/>
              <w:spacing w:before="60" w:after="60" w:line="245" w:lineRule="auto"/>
              <w:jc w:val="left"/>
            </w:pPr>
            <w:r>
              <w:rPr>
                <w:rFonts w:ascii="Times New Roman" w:hAnsi="Times New Roman" w:cs="Times New Roman"/>
                <w:b w:val="0"/>
                <w:sz w:val="20"/>
              </w:rPr>
              <w:t>No row flags</w:t>
            </w:r>
          </w:p>
        </w:tc>
        <w:tc>
          <w:tcPr>
            <w:tcW w:type="dxa" w:w="947"/>
            <w:vAlign w:val="center"/>
          </w:tcPr>
          <w:p>
            <w:pPr>
              <w:keepNext/>
              <w:keepLines/>
              <w:spacing w:before="60" w:after="60" w:line="245" w:lineRule="auto"/>
              <w:jc w:val="right"/>
            </w:pPr>
            <w:r>
              <w:rPr>
                <w:rFonts w:ascii="Times New Roman" w:hAnsi="Times New Roman" w:cs="Times New Roman"/>
                <w:b w:val="0"/>
                <w:sz w:val="20"/>
              </w:rPr>
              <w:t>203 / 18</w:t>
            </w:r>
          </w:p>
        </w:tc>
        <w:tc>
          <w:tcPr>
            <w:tcW w:type="dxa" w:w="947"/>
            <w:vAlign w:val="center"/>
          </w:tcPr>
          <w:p>
            <w:pPr>
              <w:keepNext/>
              <w:keepLines/>
              <w:spacing w:before="60" w:after="60" w:line="245" w:lineRule="auto"/>
              <w:jc w:val="right"/>
            </w:pPr>
            <w:r>
              <w:rPr>
                <w:rFonts w:ascii="Times New Roman" w:hAnsi="Times New Roman" w:cs="Times New Roman"/>
                <w:b w:val="0"/>
                <w:sz w:val="20"/>
              </w:rPr>
              <w:t>30.88</w:t>
            </w:r>
          </w:p>
        </w:tc>
        <w:tc>
          <w:tcPr>
            <w:tcW w:type="dxa" w:w="947"/>
            <w:vAlign w:val="center"/>
          </w:tcPr>
          <w:p>
            <w:pPr>
              <w:keepNext/>
              <w:keepLines/>
              <w:spacing w:before="60" w:after="60" w:line="245" w:lineRule="auto"/>
              <w:jc w:val="right"/>
            </w:pPr>
            <w:r>
              <w:rPr>
                <w:rFonts w:ascii="Times New Roman" w:hAnsi="Times New Roman" w:cs="Times New Roman"/>
                <w:b w:val="0"/>
                <w:sz w:val="20"/>
              </w:rPr>
              <w:t>23.00</w:t>
            </w:r>
          </w:p>
        </w:tc>
        <w:tc>
          <w:tcPr>
            <w:tcW w:type="dxa" w:w="1973"/>
            <w:vAlign w:val="center"/>
          </w:tcPr>
          <w:p>
            <w:pPr>
              <w:keepNext/>
              <w:keepLines/>
              <w:spacing w:before="60" w:after="60" w:line="245" w:lineRule="auto"/>
              <w:jc w:val="right"/>
            </w:pPr>
            <w:r>
              <w:rPr>
                <w:rFonts w:ascii="Times New Roman" w:hAnsi="Times New Roman" w:cs="Times New Roman"/>
                <w:b w:val="0"/>
                <w:sz w:val="20"/>
              </w:rPr>
              <w:t>[10.00, 40.00]</w:t>
            </w:r>
          </w:p>
        </w:tc>
        <w:tc>
          <w:tcPr>
            <w:tcW w:type="dxa" w:w="2052"/>
            <w:vAlign w:val="center"/>
          </w:tcPr>
          <w:p>
            <w:pPr>
              <w:keepNext/>
              <w:keepLines/>
              <w:spacing w:before="60" w:after="60" w:line="245" w:lineRule="auto"/>
              <w:jc w:val="right"/>
            </w:pPr>
            <w:r>
              <w:rPr>
                <w:rFonts w:ascii="Times New Roman" w:hAnsi="Times New Roman" w:cs="Times New Roman"/>
                <w:b w:val="0"/>
                <w:sz w:val="20"/>
              </w:rPr>
              <w:t>[0.00, 174.00]</w:t>
            </w:r>
          </w:p>
        </w:tc>
        <w:tc>
          <w:tcPr>
            <w:tcW w:type="dxa" w:w="1184"/>
            <w:vAlign w:val="center"/>
          </w:tcPr>
          <w:p>
            <w:pPr>
              <w:keepNext/>
              <w:keepLines/>
              <w:spacing w:before="60" w:after="60" w:line="245" w:lineRule="auto"/>
              <w:jc w:val="right"/>
            </w:pPr>
            <w:r>
              <w:rPr>
                <w:rFonts w:ascii="Times New Roman" w:hAnsi="Times New Roman" w:cs="Times New Roman"/>
                <w:b w:val="0"/>
                <w:sz w:val="20"/>
              </w:rPr>
              <w:t>30.30</w:t>
            </w:r>
          </w:p>
        </w:tc>
      </w:tr>
      <w:tr>
        <w:trPr>
          <w:cantSplit/>
        </w:trPr>
        <w:tc>
          <w:tcPr>
            <w:tcW w:type="dxa" w:w="1815"/>
            <w:vAlign w:val="center"/>
          </w:tcPr>
          <w:p>
            <w:pPr>
              <w:keepNext/>
              <w:keepLines/>
              <w:spacing w:before="60" w:after="60" w:line="245" w:lineRule="auto"/>
              <w:jc w:val="left"/>
            </w:pPr>
            <w:r>
              <w:rPr>
                <w:rFonts w:ascii="Times New Roman" w:hAnsi="Times New Roman" w:cs="Times New Roman"/>
                <w:b w:val="0"/>
                <w:sz w:val="20"/>
              </w:rPr>
              <w:t>Best bid only</w:t>
            </w:r>
          </w:p>
        </w:tc>
        <w:tc>
          <w:tcPr>
            <w:tcW w:type="dxa" w:w="947"/>
            <w:vAlign w:val="center"/>
          </w:tcPr>
          <w:p>
            <w:pPr>
              <w:keepNext/>
              <w:keepLines/>
              <w:spacing w:before="60" w:after="60" w:line="245" w:lineRule="auto"/>
              <w:jc w:val="right"/>
            </w:pPr>
            <w:r>
              <w:rPr>
                <w:rFonts w:ascii="Times New Roman" w:hAnsi="Times New Roman" w:cs="Times New Roman"/>
                <w:b w:val="0"/>
                <w:sz w:val="20"/>
              </w:rPr>
              <w:t>236 / 21</w:t>
            </w:r>
          </w:p>
        </w:tc>
        <w:tc>
          <w:tcPr>
            <w:tcW w:type="dxa" w:w="947"/>
            <w:vAlign w:val="center"/>
          </w:tcPr>
          <w:p>
            <w:pPr>
              <w:keepNext/>
              <w:keepLines/>
              <w:spacing w:before="60" w:after="60" w:line="245" w:lineRule="auto"/>
              <w:jc w:val="right"/>
            </w:pPr>
            <w:r>
              <w:rPr>
                <w:rFonts w:ascii="Times New Roman" w:hAnsi="Times New Roman" w:cs="Times New Roman"/>
                <w:b w:val="0"/>
                <w:sz w:val="20"/>
              </w:rPr>
              <w:t>33.37</w:t>
            </w:r>
          </w:p>
        </w:tc>
        <w:tc>
          <w:tcPr>
            <w:tcW w:type="dxa" w:w="947"/>
            <w:vAlign w:val="center"/>
          </w:tcPr>
          <w:p>
            <w:pPr>
              <w:keepNext/>
              <w:keepLines/>
              <w:spacing w:before="60" w:after="60" w:line="245" w:lineRule="auto"/>
              <w:jc w:val="right"/>
            </w:pPr>
            <w:r>
              <w:rPr>
                <w:rFonts w:ascii="Times New Roman" w:hAnsi="Times New Roman" w:cs="Times New Roman"/>
                <w:b w:val="0"/>
                <w:sz w:val="20"/>
              </w:rPr>
              <w:t>25.00</w:t>
            </w:r>
          </w:p>
        </w:tc>
        <w:tc>
          <w:tcPr>
            <w:tcW w:type="dxa" w:w="1973"/>
            <w:vAlign w:val="center"/>
          </w:tcPr>
          <w:p>
            <w:pPr>
              <w:keepNext/>
              <w:keepLines/>
              <w:spacing w:before="60" w:after="60" w:line="245" w:lineRule="auto"/>
              <w:jc w:val="right"/>
            </w:pPr>
            <w:r>
              <w:rPr>
                <w:rFonts w:ascii="Times New Roman" w:hAnsi="Times New Roman" w:cs="Times New Roman"/>
                <w:b w:val="0"/>
                <w:sz w:val="20"/>
              </w:rPr>
              <w:t>[11.00, 46.00]</w:t>
            </w:r>
          </w:p>
        </w:tc>
        <w:tc>
          <w:tcPr>
            <w:tcW w:type="dxa" w:w="2052"/>
            <w:vAlign w:val="center"/>
          </w:tcPr>
          <w:p>
            <w:pPr>
              <w:keepNext/>
              <w:keepLines/>
              <w:spacing w:before="60" w:after="60" w:line="245" w:lineRule="auto"/>
              <w:jc w:val="right"/>
            </w:pPr>
            <w:r>
              <w:rPr>
                <w:rFonts w:ascii="Times New Roman" w:hAnsi="Times New Roman" w:cs="Times New Roman"/>
                <w:b w:val="0"/>
                <w:sz w:val="20"/>
              </w:rPr>
              <w:t>[0.00, 174.00]</w:t>
            </w:r>
          </w:p>
        </w:tc>
        <w:tc>
          <w:tcPr>
            <w:tcW w:type="dxa" w:w="1184"/>
            <w:vAlign w:val="center"/>
          </w:tcPr>
          <w:p>
            <w:pPr>
              <w:keepNext/>
              <w:keepLines/>
              <w:spacing w:before="60" w:after="60" w:line="245" w:lineRule="auto"/>
              <w:jc w:val="right"/>
            </w:pPr>
            <w:r>
              <w:rPr>
                <w:rFonts w:ascii="Times New Roman" w:hAnsi="Times New Roman" w:cs="Times New Roman"/>
                <w:b w:val="0"/>
                <w:sz w:val="20"/>
              </w:rPr>
              <w:t>31.93</w:t>
            </w:r>
          </w:p>
        </w:tc>
      </w:tr>
    </w:tbl>
    <w:p>
      <w:pPr>
        <w:pStyle w:val="TableNote"/>
        <w:keepNext w:val="0"/>
        <w:keepLines/>
        <w:pageBreakBefore w:val="0"/>
        <w:spacing w:after="160"/>
        <w:ind w:left="0" w:right="0" w:firstLine="0"/>
      </w:pPr>
      <w:r>
        <w:rPr>
          <w:rFonts w:ascii="Times New Roman" w:hAnsi="Times New Roman" w:cs="Times New Roman"/>
          <w:sz w:val="19"/>
        </w:rPr>
        <w:t xml:space="preserve">Note: All values except </w:t>
      </w:r>
      <w:r>
        <w:rPr>
          <w:rFonts w:ascii="Times New Roman" w:hAnsi="Times New Roman" w:cs="Times New Roman"/>
          <w:sz w:val="19"/>
          <w:i w:val="1"/>
        </w:rPr>
        <w:t xml:space="preserve">n</w:t>
      </w:r>
      <w:r>
        <w:rPr>
          <w:rFonts w:ascii="Times New Roman" w:hAnsi="Times New Roman" w:cs="Times New Roman"/>
          <w:sz w:val="19"/>
        </w:rPr>
        <w:t xml:space="preserve">/</w:t>
      </w:r>
      <w:r>
        <w:rPr>
          <w:rFonts w:ascii="Times New Roman" w:hAnsi="Times New Roman" w:cs="Times New Roman"/>
          <w:sz w:val="19"/>
          <w:i w:val="1"/>
        </w:rPr>
        <w:t xml:space="preserve">G</w:t>
      </w:r>
      <w:r>
        <w:rPr>
          <w:rFonts w:ascii="Times New Roman" w:hAnsi="Times New Roman" w:cs="Times New Roman"/>
          <w:sz w:val="19"/>
        </w:rPr>
        <w:t xml:space="preserve"> are basis points. Equal auction weights are used. Signed negative/positive/printed-zero counts are 142/92/6 in the primary sample, 118/79/6 in the no-row-flag subset, and 138/92/6 in the best-bid subset. These imply printed-zero shares 2.50%, 2.96% and 2.54%. Absolute outcomes preserve the same zeros. Descriptions were computed after the fits on the unchanged private input sets, not selected to improve estimates. The tables do not measure a treatment effect or procurement benefit.</w:t>
      </w:r>
    </w:p>
    <w:p>
      <w:pPr>
        <w:pStyle w:val="Heading2"/>
        <w:keepNext/>
        <w:pageBreakBefore w:val="0"/>
        <w:ind w:left="0" w:right="0" w:firstLine="0"/>
      </w:pPr>
      <w:r>
        <w:rPr>
          <w:rFonts w:ascii="Times New Roman" w:hAnsi="Times New Roman" w:cs="Times New Roman"/>
          <w:sz w:val="23"/>
        </w:rPr>
        <w:t>S15 Cluster uncertainty, scale and numerical diagnostics</w:t>
      </w:r>
    </w:p>
    <w:p>
      <w:pPr>
        <w:pStyle w:val="BodyText"/>
        <w:keepNext w:val="0"/>
        <w:keepLines/>
        <w:pageBreakBefore w:val="0"/>
        <w:spacing w:line="269" w:lineRule="auto" w:before="0" w:after="120"/>
        <w:ind w:left="0" w:right="0" w:firstLine="0"/>
      </w:pPr>
      <w:r>
        <w:rPr>
          <w:rFonts w:ascii="Times New Roman" w:hAnsi="Times New Roman" w:cs="Times New Roman"/>
          <w:sz w:val="23"/>
        </w:rPr>
        <w:t xml:space="preserve">The primary uncertainty display uses quarter-cluster CR1 covariance with finite factor </w:t>
      </w:r>
      <w:r>
        <w:rPr>
          <w:rFonts w:ascii="Times New Roman" w:hAnsi="Times New Roman" w:cs="Times New Roman"/>
          <w:sz w:val="23"/>
          <w:i w:val="1"/>
        </w:rPr>
        <w:t xml:space="preserve">G</w:t>
      </w:r>
      <w:r>
        <w:rPr>
          <w:rFonts w:ascii="Times New Roman" w:hAnsi="Times New Roman" w:cs="Times New Roman"/>
          <w:sz w:val="23"/>
        </w:rPr>
        <w:t xml:space="preserve">/(</w:t>
      </w:r>
      <w:r>
        <w:rPr>
          <w:rFonts w:ascii="Times New Roman" w:hAnsi="Times New Roman" w:cs="Times New Roman"/>
          <w:sz w:val="23"/>
          <w:i w:val="1"/>
        </w:rPr>
        <w:t xml:space="preserve">G</w:t>
      </w:r>
      <w:r>
        <w:rPr>
          <w:rFonts w:ascii="Times New Roman" w:hAnsi="Times New Roman" w:cs="Times New Roman"/>
          <w:sz w:val="23"/>
        </w:rPr>
        <w:t xml:space="preserve">−1) × (</w:t>
      </w:r>
      <w:r>
        <w:rPr>
          <w:rFonts w:ascii="Times New Roman" w:hAnsi="Times New Roman" w:cs="Times New Roman"/>
          <w:sz w:val="23"/>
          <w:i w:val="1"/>
        </w:rPr>
        <w:t xml:space="preserve">n</w:t>
      </w:r>
      <w:r>
        <w:rPr>
          <w:rFonts w:ascii="Times New Roman" w:hAnsi="Times New Roman" w:cs="Times New Roman"/>
          <w:sz w:val="23"/>
        </w:rPr>
        <w:t xml:space="preserve">−1)/(</w:t>
      </w:r>
      <w:r>
        <w:rPr>
          <w:rFonts w:ascii="Times New Roman" w:hAnsi="Times New Roman" w:cs="Times New Roman"/>
          <w:sz w:val="23"/>
          <w:i w:val="1"/>
        </w:rPr>
        <w:t xml:space="preserve">n</w:t>
      </w:r>
      <w:r>
        <w:rPr>
          <w:rFonts w:ascii="Times New Roman" w:hAnsi="Times New Roman" w:cs="Times New Roman"/>
          <w:sz w:val="23"/>
        </w:rPr>
        <w:t xml:space="preserve">−k), and a t(</w:t>
      </w:r>
      <w:r>
        <w:rPr>
          <w:rFonts w:ascii="Times New Roman" w:hAnsi="Times New Roman" w:cs="Times New Roman"/>
          <w:sz w:val="23"/>
          <w:i w:val="1"/>
        </w:rPr>
        <w:t xml:space="preserve">G</w:t>
      </w:r>
      <w:r>
        <w:rPr>
          <w:rFonts w:ascii="Times New Roman" w:hAnsi="Times New Roman" w:cs="Times New Roman"/>
          <w:sz w:val="23"/>
        </w:rPr>
        <w:t xml:space="preserve">−1) reference. The primary signed coefficient alone receives a restricted-null wild-cluster t test with 999 Rademacher sign vectors, SeedSequence([20261011, 2, 240]), and CR1 studentization. The null sets the focal coefficient to zero; no sign vector is redrawn following a failure. All 999 stored draws are valid. Four statistics meet or exceed the absolute observed statistic of 3.5632, giving the two-sided plus-one </w:t>
      </w:r>
      <w:r>
        <w:rPr>
          <w:rFonts w:ascii="Times New Roman" w:hAnsi="Times New Roman" w:cs="Times New Roman"/>
          <w:sz w:val="23"/>
          <w:i w:val="1"/>
        </w:rPr>
        <w:t xml:space="preserve">p</w:t>
      </w:r>
      <w:r>
        <w:rPr>
          <w:rFonts w:ascii="Times New Roman" w:hAnsi="Times New Roman" w:cs="Times New Roman"/>
          <w:sz w:val="23"/>
        </w:rPr>
        <w:t xml:space="preserve">-value (4+1)/(999+1) = 0.005. This is a test, not the source of a bootstrap confidence interval.</w:t>
      </w:r>
    </w:p>
    <w:p>
      <w:pPr>
        <w:pStyle w:val="BodyText"/>
        <w:keepNext w:val="0"/>
        <w:pageBreakBefore w:val="0"/>
        <w:spacing w:line="269" w:lineRule="auto" w:before="0" w:after="120"/>
        <w:ind w:left="0" w:right="0" w:firstLine="0"/>
      </w:pPr>
      <w:r>
        <w:rPr>
          <w:rFonts w:ascii="Times New Roman" w:hAnsi="Times New Roman" w:cs="Times New Roman"/>
          <w:sz w:val="23"/>
        </w:rPr>
        <w:t xml:space="preserve">The quarter jackknife deletes each of 21 source quarters, recentres its coefficient estimates at their deletion mean, and uses variance (</w:t>
      </w:r>
      <w:r>
        <w:rPr>
          <w:rFonts w:ascii="Times New Roman" w:hAnsi="Times New Roman" w:cs="Times New Roman"/>
          <w:sz w:val="23"/>
          <w:i w:val="1"/>
        </w:rPr>
        <w:t xml:space="preserve">G</w:t>
      </w:r>
      <w:r>
        <w:rPr>
          <w:rFonts w:ascii="Times New Roman" w:hAnsi="Times New Roman" w:cs="Times New Roman"/>
          <w:sz w:val="23"/>
        </w:rPr>
        <w:t xml:space="preserve">−1)/</w:t>
      </w:r>
      <w:r>
        <w:rPr>
          <w:rFonts w:ascii="Times New Roman" w:hAnsi="Times New Roman" w:cs="Times New Roman"/>
          <w:sz w:val="23"/>
          <w:i w:val="1"/>
        </w:rPr>
        <w:t xml:space="preserve">G</w:t>
      </w:r>
      <w:r>
        <w:rPr>
          <w:rFonts w:ascii="Times New Roman" w:hAnsi="Times New Roman" w:cs="Times New Roman"/>
          <w:sz w:val="23"/>
        </w:rPr>
        <w:t xml:space="preserve"> times their summed squared deviations. This is mean-centred CV3J, distinct from the full-estimate-centred CV3. A t(</w:t>
      </w:r>
      <w:r>
        <w:rPr>
          <w:rFonts w:ascii="Times New Roman" w:hAnsi="Times New Roman" w:cs="Times New Roman"/>
          <w:sz w:val="23"/>
          <w:i w:val="1"/>
        </w:rPr>
        <w:t xml:space="preserve">G</w:t>
      </w:r>
      <w:r>
        <w:rPr>
          <w:rFonts w:ascii="Times New Roman" w:hAnsi="Times New Roman" w:cs="Times New Roman"/>
          <w:sz w:val="23"/>
        </w:rPr>
        <w:t xml:space="preserve">−1) interval is displayed around the full-sample coefficient. The approaches follow the cluster-jackknife and wild-bootstrap framework discussed by MacKinnon et al. (2023); they remain approximate with few and potentially dependent time clusters. Agreement of these displays does not adjust the whole exploratory history or make the same observations independent replications.</w:t>
      </w:r>
    </w:p>
    <w:p>
      <w:pPr>
        <w:pStyle w:val="Caption"/>
        <w:keepNext/>
        <w:keepLines/>
        <w:pageBreakBefore w:val="0"/>
        <w:spacing w:before="160" w:after="80"/>
        <w:ind w:left="0" w:right="0" w:firstLine="0"/>
      </w:pPr>
      <w:r>
        <w:rPr>
          <w:rFonts w:ascii="Times New Roman" w:hAnsi="Times New Roman" w:cs="Times New Roman"/>
          <w:b/>
          <w:sz w:val="21"/>
        </w:rPr>
        <w:t>Table S12 Distinct price scales and inference diagnostics</w:t>
      </w:r>
    </w:p>
    <w:tbl>
      <w:tblPr>
        <w:tblW w:type="dxa" w:w="9865"/>
        <w:tblLayout w:type="fixed"/>
        <w:tblLook w:firstColumn="1" w:firstRow="1" w:lastColumn="0" w:lastRow="0" w:noHBand="0" w:noVBand="1" w:val="04A0"/>
        <w:jc w:val="center"/>
        <w:tblBorders>
          <w:top w:val="single" w:sz="8"/>
          <w:bottom w:val="single" w:sz="8"/>
          <w:left w:val="nil"/>
          <w:right w:val="nil"/>
          <w:insideH w:val="nil"/>
          <w:insideV w:val="nil"/>
        </w:tblBorders>
      </w:tblPr>
      <w:tblGrid>
        <w:gridCol w:w="1830"/>
        <w:gridCol w:w="1073"/>
        <w:gridCol w:w="2604"/>
        <w:gridCol w:w="1137"/>
        <w:gridCol w:w="1958"/>
        <w:gridCol w:w="1263"/>
      </w:tblGrid>
      <w:tr>
        <w:trPr>
          <w:tblHeader w:val="true"/>
          <w:cantSplit/>
        </w:trPr>
        <w:tc>
          <w:tcPr>
            <w:tcW w:type="dxa" w:w="1830"/>
            <w:vAlign w:val="center"/>
            <w:tcBorders>
              <w:bottom w:val="single" w:sz="6"/>
            </w:tcBorders>
          </w:tcPr>
          <w:p>
            <w:pPr>
              <w:keepNext/>
              <w:keepLines/>
              <w:spacing w:before="60" w:after="60" w:line="245" w:lineRule="auto"/>
              <w:jc w:val="left"/>
            </w:pPr>
            <w:r>
              <w:rPr>
                <w:rFonts w:ascii="Times New Roman" w:hAnsi="Times New Roman" w:cs="Times New Roman"/>
                <w:b/>
                <w:sz w:val="20"/>
              </w:rPr>
              <w:t>Specification</w:t>
            </w:r>
          </w:p>
        </w:tc>
        <w:tc>
          <w:tcPr>
            <w:tcW w:type="dxa" w:w="1073"/>
            <w:vAlign w:val="center"/>
            <w:tcBorders>
              <w:bottom w:val="single" w:sz="6"/>
            </w:tcBorders>
          </w:tcPr>
          <w:p>
            <w:pPr>
              <w:keepNext/>
              <w:keepLines/>
              <w:spacing w:before="60" w:after="60" w:line="245" w:lineRule="auto"/>
              <w:jc w:val="right"/>
            </w:pPr>
            <w:r>
              <w:rPr>
                <w:rFonts w:ascii="Times New Roman" w:hAnsi="Times New Roman" w:cs="Times New Roman"/>
                <w:b/>
                <w:sz w:val="20"/>
              </w:rPr>
              <w:t>x-resid.</w:t>
              <w:br/>
              <w:t>IQR</w:t>
            </w:r>
          </w:p>
        </w:tc>
        <w:tc>
          <w:tcPr>
            <w:tcW w:type="dxa" w:w="2604"/>
            <w:vAlign w:val="center"/>
            <w:tcBorders>
              <w:bottom w:val="single" w:sz="6"/>
            </w:tcBorders>
          </w:tcPr>
          <w:p>
            <w:pPr>
              <w:keepNext/>
              <w:keepLines/>
              <w:spacing w:before="60" w:after="60" w:line="245" w:lineRule="auto"/>
              <w:jc w:val="right"/>
            </w:pPr>
            <w:r>
              <w:rPr>
                <w:rFonts w:ascii="Times New Roman" w:hAnsi="Times New Roman" w:cs="Times New Roman"/>
                <w:b/>
                <w:sz w:val="20"/>
              </w:rPr>
              <w:t>Residual-IQR contrast</w:t>
              <w:br/>
              <w:t>[95% CI], bp</w:t>
            </w:r>
          </w:p>
        </w:tc>
        <w:tc>
          <w:tcPr>
            <w:tcW w:type="dxa" w:w="1137"/>
            <w:vAlign w:val="center"/>
            <w:tcBorders>
              <w:bottom w:val="single" w:sz="6"/>
            </w:tcBorders>
          </w:tcPr>
          <w:p>
            <w:pPr>
              <w:keepNext/>
              <w:keepLines/>
              <w:spacing w:before="60" w:after="60" w:line="245" w:lineRule="auto"/>
              <w:jc w:val="right"/>
            </w:pPr>
            <w:r>
              <w:rPr>
                <w:rFonts w:ascii="Times New Roman" w:hAnsi="Times New Roman" w:cs="Times New Roman"/>
                <w:b/>
                <w:sz w:val="20"/>
              </w:rPr>
              <w:t>Scaled</w:t>
              <w:br/>
              <w:t>condition</w:t>
            </w:r>
          </w:p>
        </w:tc>
        <w:tc>
          <w:tcPr>
            <w:tcW w:type="dxa" w:w="1958"/>
            <w:vAlign w:val="center"/>
            <w:tcBorders>
              <w:bottom w:val="single" w:sz="6"/>
            </w:tcBorders>
          </w:tcPr>
          <w:p>
            <w:pPr>
              <w:keepNext/>
              <w:keepLines/>
              <w:spacing w:before="60" w:after="60" w:line="245" w:lineRule="auto"/>
              <w:jc w:val="right"/>
            </w:pPr>
            <w:r>
              <w:rPr>
                <w:rFonts w:ascii="Times New Roman" w:hAnsi="Times New Roman" w:cs="Times New Roman"/>
                <w:b/>
                <w:sz w:val="20"/>
              </w:rPr>
              <w:t>Max. quarter</w:t>
              <w:br/>
              <w:t>share</w:t>
            </w:r>
          </w:p>
        </w:tc>
        <w:tc>
          <w:tcPr>
            <w:tcW w:type="dxa" w:w="1263"/>
            <w:vAlign w:val="center"/>
            <w:tcBorders>
              <w:bottom w:val="single" w:sz="6"/>
            </w:tcBorders>
          </w:tcPr>
          <w:p>
            <w:pPr>
              <w:keepNext/>
              <w:keepLines/>
              <w:spacing w:before="60" w:after="60" w:line="245" w:lineRule="auto"/>
              <w:jc w:val="right"/>
            </w:pPr>
            <w:r>
              <w:rPr>
                <w:rFonts w:ascii="Times New Roman" w:hAnsi="Times New Roman" w:cs="Times New Roman"/>
                <w:b/>
                <w:sz w:val="20"/>
              </w:rPr>
              <w:t>Info. equiv.</w:t>
              <w:br/>
              <w:t>quarters</w:t>
            </w:r>
          </w:p>
        </w:tc>
      </w:tr>
      <w:tr>
        <w:trPr>
          <w:cantSplit/>
        </w:trPr>
        <w:tc>
          <w:tcPr>
            <w:tcW w:type="dxa" w:w="1830"/>
            <w:vAlign w:val="center"/>
          </w:tcPr>
          <w:p>
            <w:pPr>
              <w:keepNext/>
              <w:keepLines/>
              <w:spacing w:before="60" w:after="60" w:line="245" w:lineRule="auto"/>
              <w:jc w:val="left"/>
            </w:pPr>
            <w:r>
              <w:rPr>
                <w:rFonts w:ascii="Times New Roman" w:hAnsi="Times New Roman" w:cs="Times New Roman"/>
                <w:b w:val="0"/>
                <w:sz w:val="20"/>
              </w:rPr>
              <w:t>Primary: signed</w:t>
            </w:r>
          </w:p>
        </w:tc>
        <w:tc>
          <w:tcPr>
            <w:tcW w:type="dxa" w:w="1073"/>
            <w:vAlign w:val="center"/>
          </w:tcPr>
          <w:p>
            <w:pPr>
              <w:keepNext/>
              <w:keepLines/>
              <w:spacing w:before="60" w:after="60" w:line="245" w:lineRule="auto"/>
              <w:jc w:val="right"/>
            </w:pPr>
            <w:r>
              <w:rPr>
                <w:rFonts w:ascii="Times New Roman" w:hAnsi="Times New Roman" w:cs="Times New Roman"/>
                <w:b w:val="0"/>
                <w:sz w:val="20"/>
              </w:rPr>
              <w:t>0.1291</w:t>
            </w:r>
          </w:p>
        </w:tc>
        <w:tc>
          <w:tcPr>
            <w:tcW w:type="dxa" w:w="2604"/>
            <w:vAlign w:val="center"/>
          </w:tcPr>
          <w:p>
            <w:pPr>
              <w:keepNext/>
              <w:keepLines/>
              <w:spacing w:before="60" w:after="60" w:line="245" w:lineRule="auto"/>
              <w:jc w:val="right"/>
            </w:pPr>
            <w:r>
              <w:rPr>
                <w:rFonts w:ascii="Times New Roman" w:hAnsi="Times New Roman" w:cs="Times New Roman"/>
                <w:b w:val="0"/>
                <w:sz w:val="20"/>
              </w:rPr>
              <w:t>−10.16 [−16.11, −4.21]</w:t>
            </w:r>
          </w:p>
        </w:tc>
        <w:tc>
          <w:tcPr>
            <w:tcW w:type="dxa" w:w="1137"/>
            <w:vAlign w:val="center"/>
          </w:tcPr>
          <w:p>
            <w:pPr>
              <w:keepNext/>
              <w:keepLines/>
              <w:spacing w:before="60" w:after="60" w:line="245" w:lineRule="auto"/>
              <w:jc w:val="right"/>
            </w:pPr>
            <w:r>
              <w:rPr>
                <w:rFonts w:ascii="Times New Roman" w:hAnsi="Times New Roman" w:cs="Times New Roman"/>
                <w:b w:val="0"/>
                <w:sz w:val="20"/>
              </w:rPr>
              <w:t>14.76</w:t>
            </w:r>
          </w:p>
        </w:tc>
        <w:tc>
          <w:tcPr>
            <w:tcW w:type="dxa" w:w="1958"/>
            <w:vAlign w:val="center"/>
          </w:tcPr>
          <w:p>
            <w:pPr>
              <w:keepNext/>
              <w:keepLines/>
              <w:spacing w:before="60" w:after="60" w:line="245" w:lineRule="auto"/>
              <w:jc w:val="right"/>
            </w:pPr>
            <w:r>
              <w:rPr>
                <w:rFonts w:ascii="Times New Roman" w:hAnsi="Times New Roman" w:cs="Times New Roman"/>
                <w:b w:val="0"/>
                <w:sz w:val="20"/>
              </w:rPr>
              <w:t>0.0910</w:t>
            </w:r>
          </w:p>
        </w:tc>
        <w:tc>
          <w:tcPr>
            <w:tcW w:type="dxa" w:w="1263"/>
            <w:vAlign w:val="center"/>
          </w:tcPr>
          <w:p>
            <w:pPr>
              <w:keepNext/>
              <w:keepLines/>
              <w:spacing w:before="60" w:after="60" w:line="245" w:lineRule="auto"/>
              <w:jc w:val="right"/>
            </w:pPr>
            <w:r>
              <w:rPr>
                <w:rFonts w:ascii="Times New Roman" w:hAnsi="Times New Roman" w:cs="Times New Roman"/>
                <w:b w:val="0"/>
                <w:sz w:val="20"/>
              </w:rPr>
              <w:t>16.33</w:t>
            </w:r>
          </w:p>
        </w:tc>
      </w:tr>
      <w:tr>
        <w:trPr>
          <w:cantSplit/>
        </w:trPr>
        <w:tc>
          <w:tcPr>
            <w:tcW w:type="dxa" w:w="1830"/>
            <w:vAlign w:val="center"/>
          </w:tcPr>
          <w:p>
            <w:pPr>
              <w:keepNext/>
              <w:keepLines/>
              <w:spacing w:before="60" w:after="60" w:line="245" w:lineRule="auto"/>
              <w:jc w:val="left"/>
            </w:pPr>
            <w:r>
              <w:rPr>
                <w:rFonts w:ascii="Times New Roman" w:hAnsi="Times New Roman" w:cs="Times New Roman"/>
                <w:b w:val="0"/>
                <w:sz w:val="20"/>
              </w:rPr>
              <w:t>S1: absolute</w:t>
            </w:r>
          </w:p>
        </w:tc>
        <w:tc>
          <w:tcPr>
            <w:tcW w:type="dxa" w:w="1073"/>
            <w:vAlign w:val="center"/>
          </w:tcPr>
          <w:p>
            <w:pPr>
              <w:keepNext/>
              <w:keepLines/>
              <w:spacing w:before="60" w:after="60" w:line="245" w:lineRule="auto"/>
              <w:jc w:val="right"/>
            </w:pPr>
            <w:r>
              <w:rPr>
                <w:rFonts w:ascii="Times New Roman" w:hAnsi="Times New Roman" w:cs="Times New Roman"/>
                <w:b w:val="0"/>
                <w:sz w:val="20"/>
              </w:rPr>
              <w:t>0.1291</w:t>
            </w:r>
          </w:p>
        </w:tc>
        <w:tc>
          <w:tcPr>
            <w:tcW w:type="dxa" w:w="2604"/>
            <w:vAlign w:val="center"/>
          </w:tcPr>
          <w:p>
            <w:pPr>
              <w:keepNext/>
              <w:keepLines/>
              <w:spacing w:before="60" w:after="60" w:line="245" w:lineRule="auto"/>
              <w:jc w:val="right"/>
            </w:pPr>
            <w:r>
              <w:rPr>
                <w:rFonts w:ascii="Times New Roman" w:hAnsi="Times New Roman" w:cs="Times New Roman"/>
                <w:b w:val="0"/>
                <w:sz w:val="20"/>
              </w:rPr>
              <w:t>5.34 [−1.75, 12.43]</w:t>
            </w:r>
          </w:p>
        </w:tc>
        <w:tc>
          <w:tcPr>
            <w:tcW w:type="dxa" w:w="1137"/>
            <w:vAlign w:val="center"/>
          </w:tcPr>
          <w:p>
            <w:pPr>
              <w:keepNext/>
              <w:keepLines/>
              <w:spacing w:before="60" w:after="60" w:line="245" w:lineRule="auto"/>
              <w:jc w:val="right"/>
            </w:pPr>
            <w:r>
              <w:rPr>
                <w:rFonts w:ascii="Times New Roman" w:hAnsi="Times New Roman" w:cs="Times New Roman"/>
                <w:b w:val="0"/>
                <w:sz w:val="20"/>
              </w:rPr>
              <w:t>14.76</w:t>
            </w:r>
          </w:p>
        </w:tc>
        <w:tc>
          <w:tcPr>
            <w:tcW w:type="dxa" w:w="1958"/>
            <w:vAlign w:val="center"/>
          </w:tcPr>
          <w:p>
            <w:pPr>
              <w:keepNext/>
              <w:keepLines/>
              <w:spacing w:before="60" w:after="60" w:line="245" w:lineRule="auto"/>
              <w:jc w:val="right"/>
            </w:pPr>
            <w:r>
              <w:rPr>
                <w:rFonts w:ascii="Times New Roman" w:hAnsi="Times New Roman" w:cs="Times New Roman"/>
                <w:b w:val="0"/>
                <w:sz w:val="20"/>
              </w:rPr>
              <w:t>0.0910</w:t>
            </w:r>
          </w:p>
        </w:tc>
        <w:tc>
          <w:tcPr>
            <w:tcW w:type="dxa" w:w="1263"/>
            <w:vAlign w:val="center"/>
          </w:tcPr>
          <w:p>
            <w:pPr>
              <w:keepNext/>
              <w:keepLines/>
              <w:spacing w:before="60" w:after="60" w:line="245" w:lineRule="auto"/>
              <w:jc w:val="right"/>
            </w:pPr>
            <w:r>
              <w:rPr>
                <w:rFonts w:ascii="Times New Roman" w:hAnsi="Times New Roman" w:cs="Times New Roman"/>
                <w:b w:val="0"/>
                <w:sz w:val="20"/>
              </w:rPr>
              <w:t>16.33</w:t>
            </w:r>
          </w:p>
        </w:tc>
      </w:tr>
      <w:tr>
        <w:trPr>
          <w:cantSplit/>
        </w:trPr>
        <w:tc>
          <w:tcPr>
            <w:tcW w:type="dxa" w:w="1830"/>
            <w:vAlign w:val="center"/>
          </w:tcPr>
          <w:p>
            <w:pPr>
              <w:keepNext/>
              <w:keepLines/>
              <w:spacing w:before="60" w:after="60" w:line="245" w:lineRule="auto"/>
              <w:jc w:val="left"/>
            </w:pPr>
            <w:r>
              <w:rPr>
                <w:rFonts w:ascii="Times New Roman" w:hAnsi="Times New Roman" w:cs="Times New Roman"/>
                <w:b w:val="0"/>
                <w:sz w:val="20"/>
              </w:rPr>
              <w:t>S2: no row flags</w:t>
            </w:r>
          </w:p>
        </w:tc>
        <w:tc>
          <w:tcPr>
            <w:tcW w:type="dxa" w:w="1073"/>
            <w:vAlign w:val="center"/>
          </w:tcPr>
          <w:p>
            <w:pPr>
              <w:keepNext/>
              <w:keepLines/>
              <w:spacing w:before="60" w:after="60" w:line="245" w:lineRule="auto"/>
              <w:jc w:val="right"/>
            </w:pPr>
            <w:r>
              <w:rPr>
                <w:rFonts w:ascii="Times New Roman" w:hAnsi="Times New Roman" w:cs="Times New Roman"/>
                <w:b w:val="0"/>
                <w:sz w:val="20"/>
              </w:rPr>
              <w:t>0.1247</w:t>
            </w:r>
          </w:p>
        </w:tc>
        <w:tc>
          <w:tcPr>
            <w:tcW w:type="dxa" w:w="2604"/>
            <w:vAlign w:val="center"/>
          </w:tcPr>
          <w:p>
            <w:pPr>
              <w:keepNext/>
              <w:keepLines/>
              <w:spacing w:before="60" w:after="60" w:line="245" w:lineRule="auto"/>
              <w:jc w:val="right"/>
            </w:pPr>
            <w:r>
              <w:rPr>
                <w:rFonts w:ascii="Times New Roman" w:hAnsi="Times New Roman" w:cs="Times New Roman"/>
                <w:b w:val="0"/>
                <w:sz w:val="20"/>
              </w:rPr>
              <w:t>−10.16 [−17.26, −3.06]</w:t>
            </w:r>
          </w:p>
        </w:tc>
        <w:tc>
          <w:tcPr>
            <w:tcW w:type="dxa" w:w="1137"/>
            <w:vAlign w:val="center"/>
          </w:tcPr>
          <w:p>
            <w:pPr>
              <w:keepNext/>
              <w:keepLines/>
              <w:spacing w:before="60" w:after="60" w:line="245" w:lineRule="auto"/>
              <w:jc w:val="right"/>
            </w:pPr>
            <w:r>
              <w:rPr>
                <w:rFonts w:ascii="Times New Roman" w:hAnsi="Times New Roman" w:cs="Times New Roman"/>
                <w:b w:val="0"/>
                <w:sz w:val="20"/>
              </w:rPr>
              <w:t>17.46</w:t>
            </w:r>
          </w:p>
        </w:tc>
        <w:tc>
          <w:tcPr>
            <w:tcW w:type="dxa" w:w="1958"/>
            <w:vAlign w:val="center"/>
          </w:tcPr>
          <w:p>
            <w:pPr>
              <w:keepNext/>
              <w:keepLines/>
              <w:spacing w:before="60" w:after="60" w:line="245" w:lineRule="auto"/>
              <w:jc w:val="right"/>
            </w:pPr>
            <w:r>
              <w:rPr>
                <w:rFonts w:ascii="Times New Roman" w:hAnsi="Times New Roman" w:cs="Times New Roman"/>
                <w:b w:val="0"/>
                <w:sz w:val="20"/>
              </w:rPr>
              <w:t>0.1119</w:t>
            </w:r>
          </w:p>
        </w:tc>
        <w:tc>
          <w:tcPr>
            <w:tcW w:type="dxa" w:w="1263"/>
            <w:vAlign w:val="center"/>
          </w:tcPr>
          <w:p>
            <w:pPr>
              <w:keepNext/>
              <w:keepLines/>
              <w:spacing w:before="60" w:after="60" w:line="245" w:lineRule="auto"/>
              <w:jc w:val="right"/>
            </w:pPr>
            <w:r>
              <w:rPr>
                <w:rFonts w:ascii="Times New Roman" w:hAnsi="Times New Roman" w:cs="Times New Roman"/>
                <w:b w:val="0"/>
                <w:sz w:val="20"/>
              </w:rPr>
              <w:t>13.97</w:t>
            </w:r>
          </w:p>
        </w:tc>
      </w:tr>
      <w:tr>
        <w:trPr>
          <w:cantSplit/>
        </w:trPr>
        <w:tc>
          <w:tcPr>
            <w:tcW w:type="dxa" w:w="1830"/>
            <w:vAlign w:val="center"/>
          </w:tcPr>
          <w:p>
            <w:pPr>
              <w:keepNext/>
              <w:keepLines/>
              <w:spacing w:before="60" w:after="60" w:line="245" w:lineRule="auto"/>
              <w:jc w:val="left"/>
            </w:pPr>
            <w:r>
              <w:rPr>
                <w:rFonts w:ascii="Times New Roman" w:hAnsi="Times New Roman" w:cs="Times New Roman"/>
                <w:b w:val="0"/>
                <w:sz w:val="20"/>
              </w:rPr>
              <w:t>S3: best bid only</w:t>
            </w:r>
          </w:p>
        </w:tc>
        <w:tc>
          <w:tcPr>
            <w:tcW w:type="dxa" w:w="1073"/>
            <w:vAlign w:val="center"/>
          </w:tcPr>
          <w:p>
            <w:pPr>
              <w:keepNext/>
              <w:keepLines/>
              <w:spacing w:before="60" w:after="60" w:line="245" w:lineRule="auto"/>
              <w:jc w:val="right"/>
            </w:pPr>
            <w:r>
              <w:rPr>
                <w:rFonts w:ascii="Times New Roman" w:hAnsi="Times New Roman" w:cs="Times New Roman"/>
                <w:b w:val="0"/>
                <w:sz w:val="20"/>
              </w:rPr>
              <w:t>0.1270</w:t>
            </w:r>
          </w:p>
        </w:tc>
        <w:tc>
          <w:tcPr>
            <w:tcW w:type="dxa" w:w="2604"/>
            <w:vAlign w:val="center"/>
          </w:tcPr>
          <w:p>
            <w:pPr>
              <w:keepNext/>
              <w:keepLines/>
              <w:spacing w:before="60" w:after="60" w:line="245" w:lineRule="auto"/>
              <w:jc w:val="right"/>
            </w:pPr>
            <w:r>
              <w:rPr>
                <w:rFonts w:ascii="Times New Roman" w:hAnsi="Times New Roman" w:cs="Times New Roman"/>
                <w:b w:val="0"/>
                <w:sz w:val="20"/>
              </w:rPr>
              <w:t>−10.62 [−16.48, −4.77]</w:t>
            </w:r>
          </w:p>
        </w:tc>
        <w:tc>
          <w:tcPr>
            <w:tcW w:type="dxa" w:w="1137"/>
            <w:vAlign w:val="center"/>
          </w:tcPr>
          <w:p>
            <w:pPr>
              <w:keepNext/>
              <w:keepLines/>
              <w:spacing w:before="60" w:after="60" w:line="245" w:lineRule="auto"/>
              <w:jc w:val="right"/>
            </w:pPr>
            <w:r>
              <w:rPr>
                <w:rFonts w:ascii="Times New Roman" w:hAnsi="Times New Roman" w:cs="Times New Roman"/>
                <w:b w:val="0"/>
                <w:sz w:val="20"/>
              </w:rPr>
              <w:t>14.85</w:t>
            </w:r>
          </w:p>
        </w:tc>
        <w:tc>
          <w:tcPr>
            <w:tcW w:type="dxa" w:w="1958"/>
            <w:vAlign w:val="center"/>
          </w:tcPr>
          <w:p>
            <w:pPr>
              <w:keepNext/>
              <w:keepLines/>
              <w:spacing w:before="60" w:after="60" w:line="245" w:lineRule="auto"/>
              <w:jc w:val="right"/>
            </w:pPr>
            <w:r>
              <w:rPr>
                <w:rFonts w:ascii="Times New Roman" w:hAnsi="Times New Roman" w:cs="Times New Roman"/>
                <w:b w:val="0"/>
                <w:sz w:val="20"/>
              </w:rPr>
              <w:t>0.0921</w:t>
            </w:r>
          </w:p>
        </w:tc>
        <w:tc>
          <w:tcPr>
            <w:tcW w:type="dxa" w:w="1263"/>
            <w:vAlign w:val="center"/>
          </w:tcPr>
          <w:p>
            <w:pPr>
              <w:keepNext/>
              <w:keepLines/>
              <w:spacing w:before="60" w:after="60" w:line="245" w:lineRule="auto"/>
              <w:jc w:val="right"/>
            </w:pPr>
            <w:r>
              <w:rPr>
                <w:rFonts w:ascii="Times New Roman" w:hAnsi="Times New Roman" w:cs="Times New Roman"/>
                <w:b w:val="0"/>
                <w:sz w:val="20"/>
              </w:rPr>
              <w:t>16.15</w:t>
            </w:r>
          </w:p>
        </w:tc>
      </w:tr>
    </w:tbl>
    <w:p>
      <w:pPr>
        <w:pStyle w:val="TableNote"/>
        <w:keepNext w:val="0"/>
        <w:keepLines/>
        <w:pageBreakBefore w:val="0"/>
        <w:spacing w:after="160"/>
        <w:ind w:left="0" w:right="0" w:firstLine="0"/>
      </w:pPr>
      <w:r>
        <w:rPr>
          <w:rFonts w:ascii="Times New Roman" w:hAnsi="Times New Roman" w:cs="Times New Roman"/>
          <w:sz w:val="19"/>
        </w:rPr>
        <w:t xml:space="preserve">Note: Residual-</w:t>
      </w:r>
      <w:r>
        <w:rPr>
          <w:rFonts w:ascii="Times New Roman" w:hAnsi="Times New Roman" w:cs="Times New Roman"/>
          <w:sz w:val="19"/>
          <w:i w:val="1"/>
        </w:rPr>
        <w:t xml:space="preserve">x</w:t>
      </w:r>
      <w:r>
        <w:rPr>
          <w:rFonts w:ascii="Times New Roman" w:hAnsi="Times New Roman" w:cs="Times New Roman"/>
          <w:sz w:val="19"/>
        </w:rPr>
        <w:t xml:space="preserve"> contrasts differ from the observed-</w:t>
      </w:r>
      <w:r>
        <w:rPr>
          <w:rFonts w:ascii="Times New Roman" w:hAnsi="Times New Roman" w:cs="Times New Roman"/>
          <w:sz w:val="19"/>
          <w:i w:val="1"/>
        </w:rPr>
        <w:t xml:space="preserve">x</w:t>
      </w:r>
      <w:r>
        <w:rPr>
          <w:rFonts w:ascii="Times New Roman" w:hAnsi="Times New Roman" w:cs="Times New Roman"/>
          <w:sz w:val="19"/>
        </w:rPr>
        <w:t xml:space="preserve"> contrasts in main Table 5. They are not alternatives selected by effect size. Information shares are proportional to within-model residualized </w:t>
      </w:r>
      <w:r>
        <w:rPr>
          <w:rFonts w:ascii="Times New Roman" w:hAnsi="Times New Roman" w:cs="Times New Roman"/>
          <w:sz w:val="19"/>
          <w:i w:val="1"/>
        </w:rPr>
        <w:t xml:space="preserve">x</w:t>
      </w:r>
      <w:r>
        <w:rPr>
          <w:rFonts w:ascii="Times New Roman" w:hAnsi="Times New Roman" w:cs="Times New Roman"/>
          <w:sz w:val="19"/>
        </w:rPr>
        <w:t xml:space="preserve"> squared, summed by quarter; their reciprocal concentration is a design diagnostic, not a certified effective independent sample size. The primary observed-</w:t>
      </w:r>
      <w:r>
        <w:rPr>
          <w:rFonts w:ascii="Times New Roman" w:hAnsi="Times New Roman" w:cs="Times New Roman"/>
          <w:sz w:val="19"/>
          <w:i w:val="1"/>
        </w:rPr>
        <w:t xml:space="preserve">x</w:t>
      </w:r>
      <w:r>
        <w:rPr>
          <w:rFonts w:ascii="Times New Roman" w:hAnsi="Times New Roman" w:cs="Times New Roman"/>
          <w:sz w:val="19"/>
        </w:rPr>
        <w:t xml:space="preserve"> contrast is −14.5059 bp; the residual-</w:t>
      </w:r>
      <w:r>
        <w:rPr>
          <w:rFonts w:ascii="Times New Roman" w:hAnsi="Times New Roman" w:cs="Times New Roman"/>
          <w:sz w:val="19"/>
          <w:i w:val="1"/>
        </w:rPr>
        <w:t xml:space="preserve">x</w:t>
      </w:r>
      <w:r>
        <w:rPr>
          <w:rFonts w:ascii="Times New Roman" w:hAnsi="Times New Roman" w:cs="Times New Roman"/>
          <w:sz w:val="19"/>
        </w:rPr>
        <w:t xml:space="preserve"> contrast is −10.1622 bp. The primary CR1 SE is 22.0923; the CV3J SE is 27.7203 and its coefficient interval [−136.5430, −20.8960]. The single wild-cluster </w:t>
      </w:r>
      <w:r>
        <w:rPr>
          <w:rFonts w:ascii="Times New Roman" w:hAnsi="Times New Roman" w:cs="Times New Roman"/>
          <w:sz w:val="19"/>
          <w:i w:val="1"/>
        </w:rPr>
        <w:t xml:space="preserve">p</w:t>
      </w:r>
      <w:r>
        <w:rPr>
          <w:rFonts w:ascii="Times New Roman" w:hAnsi="Times New Roman" w:cs="Times New Roman"/>
          <w:sz w:val="19"/>
        </w:rPr>
        <w:t xml:space="preserve">-value is 0.005. Raw and scaled condition numbers address different numerical scales; no control was dropped to obtain significance.</w:t>
      </w:r>
    </w:p>
    <w:p>
      <w:pPr>
        <w:pStyle w:val="Heading2"/>
        <w:keepNext/>
        <w:pageBreakBefore w:val="0"/>
        <w:ind w:left="0" w:right="0" w:firstLine="0"/>
      </w:pPr>
      <w:r>
        <w:rPr>
          <w:rFonts w:ascii="Times New Roman" w:hAnsi="Times New Roman" w:cs="Times New Roman"/>
          <w:sz w:val="23"/>
        </w:rPr>
        <w:t>S16 Source-subset and year-deletion limits</w:t>
      </w:r>
    </w:p>
    <w:p>
      <w:pPr>
        <w:pStyle w:val="BodyText"/>
        <w:keepNext w:val="0"/>
        <w:keepLines/>
        <w:pageBreakBefore w:val="0"/>
        <w:spacing w:line="269" w:lineRule="auto" w:before="0" w:after="120"/>
        <w:ind w:left="0" w:right="0" w:firstLine="0"/>
      </w:pPr>
      <w:r>
        <w:rPr>
          <w:rFonts w:ascii="Times New Roman" w:hAnsi="Times New Roman" w:cs="Times New Roman"/>
          <w:sz w:val="23"/>
        </w:rPr>
        <w:t>The four fixed extended specifications and their own identical-row baselines are reported in main Table 5. Only the primary model has the 999-draw wild-cluster test. The two source subsets overlap the primary data; their similar signs are not independent replications. The absolute-outcome coefficient is positive but imprecise, so neither a reduction in magnitude nor a zero effect has been established. No new natural-log price specification or further window search was added after viewing these results.</w:t>
      </w:r>
    </w:p>
    <w:p>
      <w:pPr>
        <w:pStyle w:val="Caption"/>
        <w:keepNext/>
        <w:keepLines/>
        <w:pageBreakBefore w:val="0"/>
        <w:spacing w:before="160" w:after="80"/>
        <w:ind w:left="0" w:right="0" w:firstLine="0"/>
      </w:pPr>
      <w:r>
        <w:rPr>
          <w:rFonts w:ascii="Times New Roman" w:hAnsi="Times New Roman" w:cs="Times New Roman"/>
          <w:b/>
          <w:sz w:val="21"/>
        </w:rPr>
        <w:t>Table S13 Fixed leave-one-year-out primary price coefficients</w:t>
      </w:r>
    </w:p>
    <w:tbl>
      <w:tblPr>
        <w:tblW w:type="dxa" w:w="9865"/>
        <w:tblLayout w:type="fixed"/>
        <w:tblLook w:firstColumn="1" w:firstRow="1" w:lastColumn="0" w:lastRow="0" w:noHBand="0" w:noVBand="1" w:val="04A0"/>
        <w:jc w:val="center"/>
        <w:tblBorders>
          <w:top w:val="single" w:sz="8"/>
          <w:bottom w:val="single" w:sz="8"/>
          <w:left w:val="nil"/>
          <w:right w:val="nil"/>
          <w:insideH w:val="nil"/>
          <w:insideV w:val="nil"/>
        </w:tblBorders>
      </w:tblPr>
      <w:tblGrid>
        <w:gridCol w:w="2210"/>
        <w:gridCol w:w="2367"/>
        <w:gridCol w:w="2367"/>
        <w:gridCol w:w="2920"/>
      </w:tblGrid>
      <w:tr>
        <w:trPr>
          <w:tblHeader w:val="true"/>
          <w:cantSplit/>
        </w:trPr>
        <w:tc>
          <w:tcPr>
            <w:tcW w:type="dxa" w:w="2210"/>
            <w:vAlign w:val="center"/>
            <w:tcBorders>
              <w:bottom w:val="single" w:sz="6"/>
            </w:tcBorders>
          </w:tcPr>
          <w:p>
            <w:pPr>
              <w:keepNext/>
              <w:keepLines/>
              <w:spacing w:before="60" w:after="60" w:line="245" w:lineRule="auto"/>
              <w:jc w:val="left"/>
            </w:pPr>
            <w:r>
              <w:rPr>
                <w:rFonts w:ascii="Times New Roman" w:hAnsi="Times New Roman" w:cs="Times New Roman"/>
                <w:b/>
                <w:sz w:val="20"/>
              </w:rPr>
              <w:t>Omitted year</w:t>
            </w:r>
          </w:p>
        </w:tc>
        <w:tc>
          <w:tcPr>
            <w:tcW w:type="dxa" w:w="2367"/>
            <w:vAlign w:val="center"/>
            <w:tcBorders>
              <w:bottom w:val="single" w:sz="6"/>
            </w:tcBorders>
          </w:tcPr>
          <w:p>
            <w:pPr>
              <w:keepNext/>
              <w:keepLines/>
              <w:spacing w:before="60" w:after="60" w:line="245" w:lineRule="auto"/>
              <w:jc w:val="right"/>
            </w:pPr>
            <w:r>
              <w:rPr>
                <w:rFonts w:ascii="Times New Roman" w:hAnsi="Times New Roman" w:cs="Times New Roman"/>
                <w:b/>
                <w:sz w:val="20"/>
              </w:rPr>
              <w:t>Auctions retained</w:t>
            </w:r>
          </w:p>
        </w:tc>
        <w:tc>
          <w:tcPr>
            <w:tcW w:type="dxa" w:w="2367"/>
            <w:vAlign w:val="center"/>
            <w:tcBorders>
              <w:bottom w:val="single" w:sz="6"/>
            </w:tcBorders>
          </w:tcPr>
          <w:p>
            <w:pPr>
              <w:keepNext/>
              <w:keepLines/>
              <w:spacing w:before="60" w:after="60" w:line="245" w:lineRule="auto"/>
              <w:jc w:val="right"/>
            </w:pPr>
            <w:r>
              <w:rPr>
                <w:rFonts w:ascii="Times New Roman" w:hAnsi="Times New Roman" w:cs="Times New Roman"/>
                <w:b/>
                <w:sz w:val="20"/>
              </w:rPr>
              <w:t>Quarters retained</w:t>
            </w:r>
          </w:p>
        </w:tc>
        <w:tc>
          <w:tcPr>
            <w:tcW w:type="dxa" w:w="2920"/>
            <w:vAlign w:val="center"/>
            <w:tcBorders>
              <w:bottom w:val="single" w:sz="6"/>
            </w:tcBorders>
          </w:tcPr>
          <w:p>
            <w:pPr>
              <w:keepNext/>
              <w:keepLines/>
              <w:spacing w:before="60" w:after="60" w:line="245" w:lineRule="auto"/>
              <w:jc w:val="right"/>
            </w:pPr>
            <w:r>
              <w:rPr>
                <w:rFonts w:ascii="Times New Roman" w:hAnsi="Times New Roman" w:cs="Times New Roman"/>
                <w:b/>
                <w:sz w:val="20"/>
                <w:i w:val="1"/>
              </w:rPr>
              <w:t xml:space="preserve">κ</w:t>
            </w:r>
            <w:r>
              <w:rPr>
                <w:rFonts w:ascii="Times New Roman" w:hAnsi="Times New Roman" w:cs="Times New Roman"/>
                <w:b/>
                <w:sz w:val="20"/>
              </w:rPr>
              <w:t xml:space="preserve"> (bp per unit </w:t>
            </w:r>
            <w:r>
              <w:rPr>
                <w:rFonts w:ascii="Times New Roman" w:hAnsi="Times New Roman" w:cs="Times New Roman"/>
                <w:b/>
                <w:sz w:val="20"/>
                <w:i w:val="1"/>
              </w:rPr>
              <w:t xml:space="preserve">x</w:t>
            </w:r>
            <w:r>
              <w:rPr>
                <w:rFonts w:ascii="Times New Roman" w:hAnsi="Times New Roman" w:cs="Times New Roman"/>
                <w:b/>
                <w:sz w:val="20"/>
              </w:rPr>
              <w:t xml:space="preserve">)</w:t>
            </w:r>
          </w:p>
        </w:tc>
      </w:tr>
      <w:tr>
        <w:trPr>
          <w:cantSplit/>
        </w:trPr>
        <w:tc>
          <w:tcPr>
            <w:tcW w:type="dxa" w:w="2210"/>
            <w:vAlign w:val="center"/>
          </w:tcPr>
          <w:p>
            <w:pPr>
              <w:keepNext/>
              <w:keepLines/>
              <w:spacing w:before="60" w:after="60" w:line="245" w:lineRule="auto"/>
              <w:jc w:val="left"/>
            </w:pPr>
            <w:r>
              <w:rPr>
                <w:rFonts w:ascii="Times New Roman" w:hAnsi="Times New Roman" w:cs="Times New Roman"/>
                <w:b w:val="0"/>
                <w:sz w:val="20"/>
              </w:rPr>
              <w:t>2020</w:t>
            </w:r>
          </w:p>
        </w:tc>
        <w:tc>
          <w:tcPr>
            <w:tcW w:type="dxa" w:w="2367"/>
            <w:vAlign w:val="center"/>
          </w:tcPr>
          <w:p>
            <w:pPr>
              <w:keepNext/>
              <w:keepLines/>
              <w:spacing w:before="60" w:after="60" w:line="245" w:lineRule="auto"/>
              <w:jc w:val="right"/>
            </w:pPr>
            <w:r>
              <w:rPr>
                <w:rFonts w:ascii="Times New Roman" w:hAnsi="Times New Roman" w:cs="Times New Roman"/>
                <w:b w:val="0"/>
                <w:sz w:val="20"/>
              </w:rPr>
              <w:t>194</w:t>
            </w:r>
          </w:p>
        </w:tc>
        <w:tc>
          <w:tcPr>
            <w:tcW w:type="dxa" w:w="2367"/>
            <w:vAlign w:val="center"/>
          </w:tcPr>
          <w:p>
            <w:pPr>
              <w:keepNext/>
              <w:keepLines/>
              <w:spacing w:before="60" w:after="60" w:line="245" w:lineRule="auto"/>
              <w:jc w:val="right"/>
            </w:pPr>
            <w:r>
              <w:rPr>
                <w:rFonts w:ascii="Times New Roman" w:hAnsi="Times New Roman" w:cs="Times New Roman"/>
                <w:b w:val="0"/>
                <w:sz w:val="20"/>
              </w:rPr>
              <w:t>17</w:t>
            </w:r>
          </w:p>
        </w:tc>
        <w:tc>
          <w:tcPr>
            <w:tcW w:type="dxa" w:w="2920"/>
            <w:vAlign w:val="center"/>
          </w:tcPr>
          <w:p>
            <w:pPr>
              <w:keepNext/>
              <w:keepLines/>
              <w:spacing w:before="60" w:after="60" w:line="245" w:lineRule="auto"/>
              <w:jc w:val="right"/>
            </w:pPr>
            <w:r>
              <w:rPr>
                <w:rFonts w:ascii="Times New Roman" w:hAnsi="Times New Roman" w:cs="Times New Roman"/>
                <w:b w:val="0"/>
                <w:sz w:val="20"/>
              </w:rPr>
              <w:t>−86.11</w:t>
            </w:r>
          </w:p>
        </w:tc>
      </w:tr>
      <w:tr>
        <w:trPr>
          <w:cantSplit/>
        </w:trPr>
        <w:tc>
          <w:tcPr>
            <w:tcW w:type="dxa" w:w="2210"/>
            <w:vAlign w:val="center"/>
          </w:tcPr>
          <w:p>
            <w:pPr>
              <w:keepNext/>
              <w:keepLines/>
              <w:spacing w:before="60" w:after="60" w:line="245" w:lineRule="auto"/>
              <w:jc w:val="left"/>
            </w:pPr>
            <w:r>
              <w:rPr>
                <w:rFonts w:ascii="Times New Roman" w:hAnsi="Times New Roman" w:cs="Times New Roman"/>
                <w:b w:val="0"/>
                <w:sz w:val="20"/>
              </w:rPr>
              <w:t>2021</w:t>
            </w:r>
          </w:p>
        </w:tc>
        <w:tc>
          <w:tcPr>
            <w:tcW w:type="dxa" w:w="2367"/>
            <w:vAlign w:val="center"/>
          </w:tcPr>
          <w:p>
            <w:pPr>
              <w:keepNext/>
              <w:keepLines/>
              <w:spacing w:before="60" w:after="60" w:line="245" w:lineRule="auto"/>
              <w:jc w:val="right"/>
            </w:pPr>
            <w:r>
              <w:rPr>
                <w:rFonts w:ascii="Times New Roman" w:hAnsi="Times New Roman" w:cs="Times New Roman"/>
                <w:b w:val="0"/>
                <w:sz w:val="20"/>
              </w:rPr>
              <w:t>195</w:t>
            </w:r>
          </w:p>
        </w:tc>
        <w:tc>
          <w:tcPr>
            <w:tcW w:type="dxa" w:w="2367"/>
            <w:vAlign w:val="center"/>
          </w:tcPr>
          <w:p>
            <w:pPr>
              <w:keepNext/>
              <w:keepLines/>
              <w:spacing w:before="60" w:after="60" w:line="245" w:lineRule="auto"/>
              <w:jc w:val="right"/>
            </w:pPr>
            <w:r>
              <w:rPr>
                <w:rFonts w:ascii="Times New Roman" w:hAnsi="Times New Roman" w:cs="Times New Roman"/>
                <w:b w:val="0"/>
                <w:sz w:val="20"/>
              </w:rPr>
              <w:t>17</w:t>
            </w:r>
          </w:p>
        </w:tc>
        <w:tc>
          <w:tcPr>
            <w:tcW w:type="dxa" w:w="2920"/>
            <w:vAlign w:val="center"/>
          </w:tcPr>
          <w:p>
            <w:pPr>
              <w:keepNext/>
              <w:keepLines/>
              <w:spacing w:before="60" w:after="60" w:line="245" w:lineRule="auto"/>
              <w:jc w:val="right"/>
            </w:pPr>
            <w:r>
              <w:rPr>
                <w:rFonts w:ascii="Times New Roman" w:hAnsi="Times New Roman" w:cs="Times New Roman"/>
                <w:b w:val="0"/>
                <w:sz w:val="20"/>
              </w:rPr>
              <w:t>−84.42</w:t>
            </w:r>
          </w:p>
        </w:tc>
      </w:tr>
      <w:tr>
        <w:trPr>
          <w:cantSplit/>
        </w:trPr>
        <w:tc>
          <w:tcPr>
            <w:tcW w:type="dxa" w:w="2210"/>
            <w:vAlign w:val="center"/>
          </w:tcPr>
          <w:p>
            <w:pPr>
              <w:keepNext/>
              <w:keepLines/>
              <w:spacing w:before="60" w:after="60" w:line="245" w:lineRule="auto"/>
              <w:jc w:val="left"/>
            </w:pPr>
            <w:r>
              <w:rPr>
                <w:rFonts w:ascii="Times New Roman" w:hAnsi="Times New Roman" w:cs="Times New Roman"/>
                <w:b w:val="0"/>
                <w:sz w:val="20"/>
              </w:rPr>
              <w:t>2022</w:t>
            </w:r>
          </w:p>
        </w:tc>
        <w:tc>
          <w:tcPr>
            <w:tcW w:type="dxa" w:w="2367"/>
            <w:vAlign w:val="center"/>
          </w:tcPr>
          <w:p>
            <w:pPr>
              <w:keepNext/>
              <w:keepLines/>
              <w:spacing w:before="60" w:after="60" w:line="245" w:lineRule="auto"/>
              <w:jc w:val="right"/>
            </w:pPr>
            <w:r>
              <w:rPr>
                <w:rFonts w:ascii="Times New Roman" w:hAnsi="Times New Roman" w:cs="Times New Roman"/>
                <w:b w:val="0"/>
                <w:sz w:val="20"/>
              </w:rPr>
              <w:t>205</w:t>
            </w:r>
          </w:p>
        </w:tc>
        <w:tc>
          <w:tcPr>
            <w:tcW w:type="dxa" w:w="2367"/>
            <w:vAlign w:val="center"/>
          </w:tcPr>
          <w:p>
            <w:pPr>
              <w:keepNext/>
              <w:keepLines/>
              <w:spacing w:before="60" w:after="60" w:line="245" w:lineRule="auto"/>
              <w:jc w:val="right"/>
            </w:pPr>
            <w:r>
              <w:rPr>
                <w:rFonts w:ascii="Times New Roman" w:hAnsi="Times New Roman" w:cs="Times New Roman"/>
                <w:b w:val="0"/>
                <w:sz w:val="20"/>
              </w:rPr>
              <w:t>18</w:t>
            </w:r>
          </w:p>
        </w:tc>
        <w:tc>
          <w:tcPr>
            <w:tcW w:type="dxa" w:w="2920"/>
            <w:vAlign w:val="center"/>
          </w:tcPr>
          <w:p>
            <w:pPr>
              <w:keepNext/>
              <w:keepLines/>
              <w:spacing w:before="60" w:after="60" w:line="245" w:lineRule="auto"/>
              <w:jc w:val="right"/>
            </w:pPr>
            <w:r>
              <w:rPr>
                <w:rFonts w:ascii="Times New Roman" w:hAnsi="Times New Roman" w:cs="Times New Roman"/>
                <w:b w:val="0"/>
                <w:sz w:val="20"/>
              </w:rPr>
              <w:t>−45.12</w:t>
            </w:r>
          </w:p>
        </w:tc>
      </w:tr>
      <w:tr>
        <w:trPr>
          <w:cantSplit/>
        </w:trPr>
        <w:tc>
          <w:tcPr>
            <w:tcW w:type="dxa" w:w="2210"/>
            <w:vAlign w:val="center"/>
          </w:tcPr>
          <w:p>
            <w:pPr>
              <w:keepNext/>
              <w:keepLines/>
              <w:spacing w:before="60" w:after="60" w:line="245" w:lineRule="auto"/>
              <w:jc w:val="left"/>
            </w:pPr>
            <w:r>
              <w:rPr>
                <w:rFonts w:ascii="Times New Roman" w:hAnsi="Times New Roman" w:cs="Times New Roman"/>
                <w:b w:val="0"/>
                <w:sz w:val="20"/>
              </w:rPr>
              <w:t>2023</w:t>
            </w:r>
          </w:p>
        </w:tc>
        <w:tc>
          <w:tcPr>
            <w:tcW w:type="dxa" w:w="2367"/>
            <w:vAlign w:val="center"/>
          </w:tcPr>
          <w:p>
            <w:pPr>
              <w:keepNext/>
              <w:keepLines/>
              <w:spacing w:before="60" w:after="60" w:line="245" w:lineRule="auto"/>
              <w:jc w:val="right"/>
            </w:pPr>
            <w:r>
              <w:rPr>
                <w:rFonts w:ascii="Times New Roman" w:hAnsi="Times New Roman" w:cs="Times New Roman"/>
                <w:b w:val="0"/>
                <w:sz w:val="20"/>
              </w:rPr>
              <w:t>204</w:t>
            </w:r>
          </w:p>
        </w:tc>
        <w:tc>
          <w:tcPr>
            <w:tcW w:type="dxa" w:w="2367"/>
            <w:vAlign w:val="center"/>
          </w:tcPr>
          <w:p>
            <w:pPr>
              <w:keepNext/>
              <w:keepLines/>
              <w:spacing w:before="60" w:after="60" w:line="245" w:lineRule="auto"/>
              <w:jc w:val="right"/>
            </w:pPr>
            <w:r>
              <w:rPr>
                <w:rFonts w:ascii="Times New Roman" w:hAnsi="Times New Roman" w:cs="Times New Roman"/>
                <w:b w:val="0"/>
                <w:sz w:val="20"/>
              </w:rPr>
              <w:t>18</w:t>
            </w:r>
          </w:p>
        </w:tc>
        <w:tc>
          <w:tcPr>
            <w:tcW w:type="dxa" w:w="2920"/>
            <w:vAlign w:val="center"/>
          </w:tcPr>
          <w:p>
            <w:pPr>
              <w:keepNext/>
              <w:keepLines/>
              <w:spacing w:before="60" w:after="60" w:line="245" w:lineRule="auto"/>
              <w:jc w:val="right"/>
            </w:pPr>
            <w:r>
              <w:rPr>
                <w:rFonts w:ascii="Times New Roman" w:hAnsi="Times New Roman" w:cs="Times New Roman"/>
                <w:b w:val="0"/>
                <w:sz w:val="20"/>
              </w:rPr>
              <w:t>−73.27</w:t>
            </w:r>
          </w:p>
        </w:tc>
      </w:tr>
      <w:tr>
        <w:trPr>
          <w:cantSplit/>
        </w:trPr>
        <w:tc>
          <w:tcPr>
            <w:tcW w:type="dxa" w:w="2210"/>
            <w:vAlign w:val="center"/>
          </w:tcPr>
          <w:p>
            <w:pPr>
              <w:keepNext/>
              <w:keepLines/>
              <w:spacing w:before="60" w:after="60" w:line="245" w:lineRule="auto"/>
              <w:jc w:val="left"/>
            </w:pPr>
            <w:r>
              <w:rPr>
                <w:rFonts w:ascii="Times New Roman" w:hAnsi="Times New Roman" w:cs="Times New Roman"/>
                <w:b w:val="0"/>
                <w:sz w:val="20"/>
              </w:rPr>
              <w:t>2024</w:t>
            </w:r>
          </w:p>
        </w:tc>
        <w:tc>
          <w:tcPr>
            <w:tcW w:type="dxa" w:w="2367"/>
            <w:vAlign w:val="center"/>
          </w:tcPr>
          <w:p>
            <w:pPr>
              <w:keepNext/>
              <w:keepLines/>
              <w:spacing w:before="60" w:after="60" w:line="245" w:lineRule="auto"/>
              <w:jc w:val="right"/>
            </w:pPr>
            <w:r>
              <w:rPr>
                <w:rFonts w:ascii="Times New Roman" w:hAnsi="Times New Roman" w:cs="Times New Roman"/>
                <w:b w:val="0"/>
                <w:sz w:val="20"/>
              </w:rPr>
              <w:t>206</w:t>
            </w:r>
          </w:p>
        </w:tc>
        <w:tc>
          <w:tcPr>
            <w:tcW w:type="dxa" w:w="2367"/>
            <w:vAlign w:val="center"/>
          </w:tcPr>
          <w:p>
            <w:pPr>
              <w:keepNext/>
              <w:keepLines/>
              <w:spacing w:before="60" w:after="60" w:line="245" w:lineRule="auto"/>
              <w:jc w:val="right"/>
            </w:pPr>
            <w:r>
              <w:rPr>
                <w:rFonts w:ascii="Times New Roman" w:hAnsi="Times New Roman" w:cs="Times New Roman"/>
                <w:b w:val="0"/>
                <w:sz w:val="20"/>
              </w:rPr>
              <w:t>18</w:t>
            </w:r>
          </w:p>
        </w:tc>
        <w:tc>
          <w:tcPr>
            <w:tcW w:type="dxa" w:w="2920"/>
            <w:vAlign w:val="center"/>
          </w:tcPr>
          <w:p>
            <w:pPr>
              <w:keepNext/>
              <w:keepLines/>
              <w:spacing w:before="60" w:after="60" w:line="245" w:lineRule="auto"/>
              <w:jc w:val="right"/>
            </w:pPr>
            <w:r>
              <w:rPr>
                <w:rFonts w:ascii="Times New Roman" w:hAnsi="Times New Roman" w:cs="Times New Roman"/>
                <w:b w:val="0"/>
                <w:sz w:val="20"/>
              </w:rPr>
              <w:t>−88.23</w:t>
            </w:r>
          </w:p>
        </w:tc>
      </w:tr>
      <w:tr>
        <w:trPr>
          <w:cantSplit/>
        </w:trPr>
        <w:tc>
          <w:tcPr>
            <w:tcW w:type="dxa" w:w="2210"/>
            <w:vAlign w:val="center"/>
          </w:tcPr>
          <w:p>
            <w:pPr>
              <w:keepNext/>
              <w:keepLines/>
              <w:spacing w:before="60" w:after="60" w:line="245" w:lineRule="auto"/>
              <w:jc w:val="left"/>
            </w:pPr>
            <w:r>
              <w:rPr>
                <w:rFonts w:ascii="Times New Roman" w:hAnsi="Times New Roman" w:cs="Times New Roman"/>
                <w:b w:val="0"/>
                <w:sz w:val="20"/>
              </w:rPr>
              <w:t>2025</w:t>
            </w:r>
          </w:p>
        </w:tc>
        <w:tc>
          <w:tcPr>
            <w:tcW w:type="dxa" w:w="2367"/>
            <w:vAlign w:val="center"/>
          </w:tcPr>
          <w:p>
            <w:pPr>
              <w:keepNext/>
              <w:keepLines/>
              <w:spacing w:before="60" w:after="60" w:line="245" w:lineRule="auto"/>
              <w:jc w:val="right"/>
            </w:pPr>
            <w:r>
              <w:rPr>
                <w:rFonts w:ascii="Times New Roman" w:hAnsi="Times New Roman" w:cs="Times New Roman"/>
                <w:b w:val="0"/>
                <w:sz w:val="20"/>
              </w:rPr>
              <w:t>196</w:t>
            </w:r>
          </w:p>
        </w:tc>
        <w:tc>
          <w:tcPr>
            <w:tcW w:type="dxa" w:w="2367"/>
            <w:vAlign w:val="center"/>
          </w:tcPr>
          <w:p>
            <w:pPr>
              <w:keepNext/>
              <w:keepLines/>
              <w:spacing w:before="60" w:after="60" w:line="245" w:lineRule="auto"/>
              <w:jc w:val="right"/>
            </w:pPr>
            <w:r>
              <w:rPr>
                <w:rFonts w:ascii="Times New Roman" w:hAnsi="Times New Roman" w:cs="Times New Roman"/>
                <w:b w:val="0"/>
                <w:sz w:val="20"/>
              </w:rPr>
              <w:t>17</w:t>
            </w:r>
          </w:p>
        </w:tc>
        <w:tc>
          <w:tcPr>
            <w:tcW w:type="dxa" w:w="2920"/>
            <w:vAlign w:val="center"/>
          </w:tcPr>
          <w:p>
            <w:pPr>
              <w:keepNext/>
              <w:keepLines/>
              <w:spacing w:before="60" w:after="60" w:line="245" w:lineRule="auto"/>
              <w:jc w:val="right"/>
            </w:pPr>
            <w:r>
              <w:rPr>
                <w:rFonts w:ascii="Times New Roman" w:hAnsi="Times New Roman" w:cs="Times New Roman"/>
                <w:b w:val="0"/>
                <w:sz w:val="20"/>
              </w:rPr>
              <w:t>−83.74</w:t>
            </w:r>
          </w:p>
        </w:tc>
      </w:tr>
    </w:tbl>
    <w:p>
      <w:pPr>
        <w:pStyle w:val="TableNote"/>
        <w:keepNext w:val="0"/>
        <w:keepLines/>
        <w:pageBreakBefore w:val="0"/>
        <w:spacing w:after="160"/>
        <w:ind w:left="0" w:right="0" w:firstLine="0"/>
      </w:pPr>
      <w:r>
        <w:rPr>
          <w:rFonts w:ascii="Times New Roman" w:hAnsi="Times New Roman" w:cs="Times New Roman"/>
          <w:sz w:val="19"/>
        </w:rPr>
        <w:t>Note: These are point-estimate influence checks, not six significance tests. Observed-year effects are rebased after deletion; all economic controls are retained. Deleting 2022 reduces the coefficient magnitude from 78.72 to 45.12, a 42.7% comparison of two estimates, not an estimate of the contribution of that year. No claim is made that the deletion-specific intervals exclude zero or that slopes are invariant across years. The 21 quarter deletions and the four models remain available in the fixed RESULTS.json.</w:t>
      </w:r>
    </w:p>
    <w:p>
      <w:pPr>
        <w:pStyle w:val="BodyText"/>
        <w:keepNext w:val="0"/>
        <w:pageBreakBefore w:val="0"/>
        <w:spacing w:line="269" w:lineRule="auto" w:before="0" w:after="120"/>
        <w:ind w:left="0" w:right="0" w:firstLine="0"/>
      </w:pPr>
      <w:r>
        <w:rPr>
          <w:rFonts w:ascii="Times New Roman" w:hAnsi="Times New Roman" w:cs="Times New Roman"/>
          <w:sz w:val="23"/>
        </w:rPr>
        <w:t>The fixed price analysis comprised 1,034 estimation requests: eight baseline/extension fits, 999 restricted bootstrap fits, 21 quarter deletions and six year deletions. Four independent implementation checks of the same extended models agreed in the focal coefficient, CR1 standard error and partial R². Twenty-six artificial tests passed in each recorded Python mode, and the 55 frozen input objects were unchanged. These checks assess implementation and record integrity rather than provide another market sample. Public arithmetic checks of the aggregate outputs and stored test statistics are separately documented.</w:t>
      </w:r>
    </w:p>
    <w:p>
      <w:pPr>
        <w:pStyle w:val="Heading2"/>
        <w:keepNext/>
        <w:pageBreakBefore w:val="0"/>
        <w:ind w:left="0" w:right="0" w:firstLine="0"/>
      </w:pPr>
      <w:r>
        <w:rPr>
          <w:rFonts w:ascii="Times New Roman" w:hAnsi="Times New Roman" w:cs="Times New Roman"/>
          <w:sz w:val="23"/>
        </w:rPr>
        <w:t>S17 Report definitions, locators and availability</w:t>
      </w:r>
    </w:p>
    <w:p>
      <w:pPr>
        <w:pStyle w:val="BodyText"/>
        <w:keepNext w:val="0"/>
        <w:keepLines/>
        <w:pageBreakBefore w:val="0"/>
        <w:spacing w:line="269" w:lineRule="auto" w:before="0" w:after="120"/>
        <w:ind w:left="0" w:right="0" w:firstLine="0"/>
      </w:pPr>
      <w:r>
        <w:rPr>
          <w:rFonts w:ascii="Times New Roman" w:hAnsi="Times New Roman" w:cs="Times New Roman"/>
          <w:sz w:val="23"/>
        </w:rPr>
        <w:t>The targeted source-definition audit covers the 24 held quarterly reports. File identity and native text were checked, the relevant Table 4 explanatory text was located, and the earliest and latest complete methods paragraphs were additionally examined. The descriptions identify a comparison of auction clearing prices with a secondary-market reference but did not establish an explicit subtraction-and-percentage-denominator equation in the examined text. We retain the official signed number without reconstructing a denominator or interpreting a lower value as a larger auction discount. Table S14 supplies page locators and links to the recorded source URLs; a locator is not evidence of native-event-time authentication.</w:t>
      </w:r>
    </w:p>
    <w:p>
      <w:pPr>
        <w:pStyle w:val="Caption"/>
        <w:keepNext/>
        <w:keepLines/>
        <w:pageBreakBefore w:val="0"/>
        <w:spacing w:before="160" w:after="80"/>
        <w:ind w:left="0" w:right="0" w:firstLine="0"/>
      </w:pPr>
      <w:r>
        <w:rPr>
          <w:rFonts w:ascii="Times New Roman" w:hAnsi="Times New Roman" w:cs="Times New Roman"/>
          <w:b/>
          <w:sz w:val="21"/>
        </w:rPr>
        <w:t>Table S14 Report-definition page locators and eligibility</w:t>
      </w:r>
    </w:p>
    <w:tbl>
      <w:tblPr>
        <w:tblW w:type="dxa" w:w="9865"/>
        <w:tblLayout w:type="fixed"/>
        <w:tblLook w:firstColumn="1" w:firstRow="1" w:lastColumn="0" w:lastRow="0" w:noHBand="0" w:noVBand="1" w:val="04A0"/>
        <w:jc w:val="center"/>
        <w:tblBorders>
          <w:top w:val="single" w:sz="8"/>
          <w:bottom w:val="single" w:sz="8"/>
          <w:left w:val="nil"/>
          <w:right w:val="nil"/>
          <w:insideH w:val="nil"/>
          <w:insideV w:val="nil"/>
        </w:tblBorders>
      </w:tblPr>
      <w:tblGrid>
        <w:gridCol w:w="2446"/>
        <w:gridCol w:w="2367"/>
        <w:gridCol w:w="2525"/>
        <w:gridCol w:w="2525"/>
      </w:tblGrid>
      <w:tr>
        <w:trPr>
          <w:tblHeader w:val="true"/>
          <w:cantSplit/>
        </w:trPr>
        <w:tc>
          <w:tcPr>
            <w:tcW w:type="dxa" w:w="2446"/>
            <w:vAlign w:val="center"/>
            <w:tcBorders>
              <w:bottom w:val="single" w:sz="6"/>
            </w:tcBorders>
          </w:tcPr>
          <w:p>
            <w:pPr>
              <w:keepNext/>
              <w:keepLines/>
              <w:spacing w:before="60" w:after="60" w:line="245" w:lineRule="auto"/>
              <w:jc w:val="left"/>
            </w:pPr>
            <w:r>
              <w:rPr>
                <w:rFonts w:ascii="Times New Roman" w:hAnsi="Times New Roman" w:cs="Times New Roman"/>
                <w:b/>
                <w:sz w:val="20"/>
              </w:rPr>
              <w:t>Source quarter</w:t>
            </w:r>
          </w:p>
        </w:tc>
        <w:tc>
          <w:tcPr>
            <w:tcW w:type="dxa" w:w="2367"/>
            <w:vAlign w:val="center"/>
            <w:tcBorders>
              <w:bottom w:val="single" w:sz="6"/>
            </w:tcBorders>
          </w:tcPr>
          <w:p>
            <w:pPr>
              <w:keepNext/>
              <w:keepLines/>
              <w:spacing w:before="60" w:after="60" w:line="245" w:lineRule="auto"/>
              <w:jc w:val="right"/>
            </w:pPr>
            <w:r>
              <w:rPr>
                <w:rFonts w:ascii="Times New Roman" w:hAnsi="Times New Roman" w:cs="Times New Roman"/>
                <w:b/>
                <w:sz w:val="20"/>
              </w:rPr>
              <w:t>Definition page</w:t>
            </w:r>
          </w:p>
        </w:tc>
        <w:tc>
          <w:tcPr>
            <w:tcW w:type="dxa" w:w="2525"/>
            <w:vAlign w:val="center"/>
            <w:tcBorders>
              <w:bottom w:val="single" w:sz="6"/>
            </w:tcBorders>
          </w:tcPr>
          <w:p>
            <w:pPr>
              <w:keepNext/>
              <w:keepLines/>
              <w:spacing w:before="60" w:after="60" w:line="245" w:lineRule="auto"/>
              <w:jc w:val="right"/>
            </w:pPr>
            <w:r>
              <w:rPr>
                <w:rFonts w:ascii="Times New Roman" w:hAnsi="Times New Roman" w:cs="Times New Roman"/>
                <w:b/>
                <w:sz w:val="20"/>
              </w:rPr>
              <w:t>Reported auctions</w:t>
            </w:r>
          </w:p>
        </w:tc>
        <w:tc>
          <w:tcPr>
            <w:tcW w:type="dxa" w:w="2525"/>
            <w:vAlign w:val="center"/>
            <w:tcBorders>
              <w:bottom w:val="single" w:sz="6"/>
            </w:tcBorders>
          </w:tcPr>
          <w:p>
            <w:pPr>
              <w:keepNext/>
              <w:keepLines/>
              <w:spacing w:before="60" w:after="60" w:line="245" w:lineRule="auto"/>
              <w:jc w:val="right"/>
            </w:pPr>
            <w:r>
              <w:rPr>
                <w:rFonts w:ascii="Times New Roman" w:hAnsi="Times New Roman" w:cs="Times New Roman"/>
                <w:b/>
                <w:sz w:val="20"/>
              </w:rPr>
              <w:t>Eligible auctions</w:t>
            </w:r>
          </w:p>
        </w:tc>
      </w:tr>
      <w:tr>
        <w:trPr>
          <w:cantSplit/>
        </w:trPr>
        <w:tc>
          <w:tcPr>
            <w:tcW w:type="dxa" w:w="2446"/>
            <w:vAlign w:val="center"/>
          </w:tcPr>
          <w:p>
            <w:pPr>
              <w:keepNext/>
              <w:keepLines/>
              <w:spacing w:before="60" w:after="60" w:line="245" w:lineRule="auto"/>
              <w:jc w:val="left"/>
            </w:pPr>
            <w:hyperlink r:id="rId12">
              <w:r>
                <w:rPr>
                  <w:rFonts w:ascii="Times New Roman" w:hAnsi="Times New Roman"/>
                  <w:u w:val="single"/>
                </w:rPr>
                <w:t>2020Q1</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12</w:t>
            </w:r>
          </w:p>
        </w:tc>
        <w:tc>
          <w:tcPr>
            <w:tcW w:type="dxa" w:w="2525"/>
            <w:vAlign w:val="center"/>
          </w:tcPr>
          <w:p>
            <w:pPr>
              <w:keepNext/>
              <w:keepLines/>
              <w:spacing w:before="60" w:after="60" w:line="245" w:lineRule="auto"/>
              <w:jc w:val="right"/>
            </w:pPr>
            <w:r>
              <w:rPr>
                <w:rFonts w:ascii="Times New Roman" w:hAnsi="Times New Roman" w:cs="Times New Roman"/>
                <w:b w:val="0"/>
                <w:sz w:val="20"/>
              </w:rPr>
              <w:t>12</w:t>
            </w:r>
          </w:p>
        </w:tc>
      </w:tr>
      <w:tr>
        <w:trPr>
          <w:cantSplit/>
        </w:trPr>
        <w:tc>
          <w:tcPr>
            <w:tcW w:type="dxa" w:w="2446"/>
            <w:vAlign w:val="center"/>
          </w:tcPr>
          <w:p>
            <w:pPr>
              <w:keepNext/>
              <w:keepLines/>
              <w:spacing w:before="60" w:after="60" w:line="245" w:lineRule="auto"/>
              <w:jc w:val="left"/>
            </w:pPr>
            <w:hyperlink r:id="rId13">
              <w:r>
                <w:rPr>
                  <w:rFonts w:ascii="Times New Roman" w:hAnsi="Times New Roman"/>
                  <w:u w:val="single"/>
                </w:rPr>
                <w:t>2020Q2</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14</w:t>
            </w:r>
          </w:p>
        </w:tc>
        <w:tc>
          <w:tcPr>
            <w:tcW w:type="dxa" w:w="2525"/>
            <w:vAlign w:val="center"/>
          </w:tcPr>
          <w:p>
            <w:pPr>
              <w:keepNext/>
              <w:keepLines/>
              <w:spacing w:before="60" w:after="60" w:line="245" w:lineRule="auto"/>
              <w:jc w:val="right"/>
            </w:pPr>
            <w:r>
              <w:rPr>
                <w:rFonts w:ascii="Times New Roman" w:hAnsi="Times New Roman" w:cs="Times New Roman"/>
                <w:b w:val="0"/>
                <w:sz w:val="20"/>
              </w:rPr>
              <w:t>10</w:t>
            </w:r>
          </w:p>
        </w:tc>
        <w:tc>
          <w:tcPr>
            <w:tcW w:type="dxa" w:w="2525"/>
            <w:vAlign w:val="center"/>
          </w:tcPr>
          <w:p>
            <w:pPr>
              <w:keepNext/>
              <w:keepLines/>
              <w:spacing w:before="60" w:after="60" w:line="245" w:lineRule="auto"/>
              <w:jc w:val="right"/>
            </w:pPr>
            <w:r>
              <w:rPr>
                <w:rFonts w:ascii="Times New Roman" w:hAnsi="Times New Roman" w:cs="Times New Roman"/>
                <w:b w:val="0"/>
                <w:sz w:val="20"/>
              </w:rPr>
              <w:t>10</w:t>
            </w:r>
          </w:p>
        </w:tc>
      </w:tr>
      <w:tr>
        <w:trPr>
          <w:cantSplit/>
        </w:trPr>
        <w:tc>
          <w:tcPr>
            <w:tcW w:type="dxa" w:w="2446"/>
            <w:vAlign w:val="center"/>
          </w:tcPr>
          <w:p>
            <w:pPr>
              <w:keepNext/>
              <w:keepLines/>
              <w:spacing w:before="60" w:after="60" w:line="245" w:lineRule="auto"/>
              <w:jc w:val="left"/>
            </w:pPr>
            <w:hyperlink r:id="rId14">
              <w:r>
                <w:rPr>
                  <w:rFonts w:ascii="Times New Roman" w:hAnsi="Times New Roman"/>
                  <w:u w:val="single"/>
                </w:rPr>
                <w:t>2020Q3</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14</w:t>
            </w:r>
          </w:p>
        </w:tc>
        <w:tc>
          <w:tcPr>
            <w:tcW w:type="dxa" w:w="2525"/>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13</w:t>
            </w:r>
          </w:p>
        </w:tc>
      </w:tr>
      <w:tr>
        <w:trPr>
          <w:cantSplit/>
        </w:trPr>
        <w:tc>
          <w:tcPr>
            <w:tcW w:type="dxa" w:w="2446"/>
            <w:vAlign w:val="center"/>
          </w:tcPr>
          <w:p>
            <w:pPr>
              <w:keepNext/>
              <w:keepLines/>
              <w:spacing w:before="60" w:after="60" w:line="245" w:lineRule="auto"/>
              <w:jc w:val="left"/>
            </w:pPr>
            <w:hyperlink r:id="rId15">
              <w:r>
                <w:rPr>
                  <w:rFonts w:ascii="Times New Roman" w:hAnsi="Times New Roman"/>
                  <w:u w:val="single"/>
                </w:rPr>
                <w:t>2020Q4</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15</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r>
      <w:tr>
        <w:trPr>
          <w:cantSplit/>
        </w:trPr>
        <w:tc>
          <w:tcPr>
            <w:tcW w:type="dxa" w:w="2446"/>
            <w:vAlign w:val="center"/>
          </w:tcPr>
          <w:p>
            <w:pPr>
              <w:keepNext/>
              <w:keepLines/>
              <w:spacing w:before="60" w:after="60" w:line="245" w:lineRule="auto"/>
              <w:jc w:val="left"/>
            </w:pPr>
            <w:hyperlink r:id="rId16">
              <w:r>
                <w:rPr>
                  <w:rFonts w:ascii="Times New Roman" w:hAnsi="Times New Roman"/>
                  <w:u w:val="single"/>
                </w:rPr>
                <w:t>2021Q1</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9</w:t>
            </w:r>
          </w:p>
        </w:tc>
        <w:tc>
          <w:tcPr>
            <w:tcW w:type="dxa" w:w="2525"/>
            <w:vAlign w:val="center"/>
          </w:tcPr>
          <w:p>
            <w:pPr>
              <w:keepNext/>
              <w:keepLines/>
              <w:spacing w:before="60" w:after="60" w:line="245" w:lineRule="auto"/>
              <w:jc w:val="right"/>
            </w:pPr>
            <w:r>
              <w:rPr>
                <w:rFonts w:ascii="Times New Roman" w:hAnsi="Times New Roman" w:cs="Times New Roman"/>
                <w:b w:val="0"/>
                <w:sz w:val="20"/>
              </w:rPr>
              <w:t>9</w:t>
            </w:r>
          </w:p>
        </w:tc>
      </w:tr>
      <w:tr>
        <w:trPr>
          <w:cantSplit/>
        </w:trPr>
        <w:tc>
          <w:tcPr>
            <w:tcW w:type="dxa" w:w="2446"/>
            <w:vAlign w:val="center"/>
          </w:tcPr>
          <w:p>
            <w:pPr>
              <w:keepNext/>
              <w:keepLines/>
              <w:spacing w:before="60" w:after="60" w:line="245" w:lineRule="auto"/>
              <w:jc w:val="left"/>
            </w:pPr>
            <w:hyperlink r:id="rId17">
              <w:r>
                <w:rPr>
                  <w:rFonts w:ascii="Times New Roman" w:hAnsi="Times New Roman"/>
                  <w:u w:val="single"/>
                </w:rPr>
                <w:t>2021Q2</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14</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r>
      <w:tr>
        <w:trPr>
          <w:cantSplit/>
        </w:trPr>
        <w:tc>
          <w:tcPr>
            <w:tcW w:type="dxa" w:w="2446"/>
            <w:vAlign w:val="center"/>
          </w:tcPr>
          <w:p>
            <w:pPr>
              <w:keepNext/>
              <w:keepLines/>
              <w:spacing w:before="60" w:after="60" w:line="245" w:lineRule="auto"/>
              <w:jc w:val="left"/>
            </w:pPr>
            <w:hyperlink r:id="rId18">
              <w:r>
                <w:rPr>
                  <w:rFonts w:ascii="Times New Roman" w:hAnsi="Times New Roman"/>
                  <w:u w:val="single"/>
                </w:rPr>
                <w:t>2021Q3</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15</w:t>
            </w:r>
          </w:p>
        </w:tc>
        <w:tc>
          <w:tcPr>
            <w:tcW w:type="dxa" w:w="2525"/>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13</w:t>
            </w:r>
          </w:p>
        </w:tc>
      </w:tr>
      <w:tr>
        <w:trPr>
          <w:cantSplit/>
        </w:trPr>
        <w:tc>
          <w:tcPr>
            <w:tcW w:type="dxa" w:w="2446"/>
            <w:vAlign w:val="center"/>
          </w:tcPr>
          <w:p>
            <w:pPr>
              <w:keepNext/>
              <w:keepLines/>
              <w:spacing w:before="60" w:after="60" w:line="245" w:lineRule="auto"/>
              <w:jc w:val="left"/>
            </w:pPr>
            <w:hyperlink r:id="rId19">
              <w:r>
                <w:rPr>
                  <w:rFonts w:ascii="Times New Roman" w:hAnsi="Times New Roman"/>
                  <w:u w:val="single"/>
                </w:rPr>
                <w:t>2021Q4</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16</w:t>
            </w:r>
          </w:p>
        </w:tc>
        <w:tc>
          <w:tcPr>
            <w:tcW w:type="dxa" w:w="2525"/>
            <w:vAlign w:val="center"/>
          </w:tcPr>
          <w:p>
            <w:pPr>
              <w:keepNext/>
              <w:keepLines/>
              <w:spacing w:before="60" w:after="60" w:line="245" w:lineRule="auto"/>
              <w:jc w:val="right"/>
            </w:pPr>
            <w:r>
              <w:rPr>
                <w:rFonts w:ascii="Times New Roman" w:hAnsi="Times New Roman" w:cs="Times New Roman"/>
                <w:b w:val="0"/>
                <w:sz w:val="20"/>
              </w:rPr>
              <w:t>12</w:t>
            </w:r>
          </w:p>
        </w:tc>
        <w:tc>
          <w:tcPr>
            <w:tcW w:type="dxa" w:w="2525"/>
            <w:vAlign w:val="center"/>
          </w:tcPr>
          <w:p>
            <w:pPr>
              <w:keepNext/>
              <w:keepLines/>
              <w:spacing w:before="60" w:after="60" w:line="245" w:lineRule="auto"/>
              <w:jc w:val="right"/>
            </w:pPr>
            <w:r>
              <w:rPr>
                <w:rFonts w:ascii="Times New Roman" w:hAnsi="Times New Roman" w:cs="Times New Roman"/>
                <w:b w:val="0"/>
                <w:sz w:val="20"/>
              </w:rPr>
              <w:t>12</w:t>
            </w:r>
          </w:p>
        </w:tc>
      </w:tr>
      <w:tr>
        <w:trPr>
          <w:cantSplit/>
        </w:trPr>
        <w:tc>
          <w:tcPr>
            <w:tcW w:type="dxa" w:w="2446"/>
            <w:vAlign w:val="center"/>
          </w:tcPr>
          <w:p>
            <w:pPr>
              <w:keepNext/>
              <w:keepLines/>
              <w:spacing w:before="60" w:after="60" w:line="245" w:lineRule="auto"/>
              <w:jc w:val="left"/>
            </w:pPr>
            <w:hyperlink r:id="rId20">
              <w:r>
                <w:rPr>
                  <w:rFonts w:ascii="Times New Roman" w:hAnsi="Times New Roman"/>
                  <w:u w:val="single"/>
                </w:rPr>
                <w:t>2022Q1</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r>
      <w:tr>
        <w:trPr>
          <w:cantSplit/>
        </w:trPr>
        <w:tc>
          <w:tcPr>
            <w:tcW w:type="dxa" w:w="2446"/>
            <w:vAlign w:val="center"/>
          </w:tcPr>
          <w:p>
            <w:pPr>
              <w:keepNext/>
              <w:keepLines/>
              <w:spacing w:before="60" w:after="60" w:line="245" w:lineRule="auto"/>
              <w:jc w:val="left"/>
            </w:pPr>
            <w:hyperlink r:id="rId21">
              <w:r>
                <w:rPr>
                  <w:rFonts w:ascii="Times New Roman" w:hAnsi="Times New Roman"/>
                  <w:u w:val="single"/>
                </w:rPr>
                <w:t>2022Q2</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14</w:t>
            </w:r>
          </w:p>
        </w:tc>
        <w:tc>
          <w:tcPr>
            <w:tcW w:type="dxa" w:w="2525"/>
            <w:vAlign w:val="center"/>
          </w:tcPr>
          <w:p>
            <w:pPr>
              <w:keepNext/>
              <w:keepLines/>
              <w:spacing w:before="60" w:after="60" w:line="245" w:lineRule="auto"/>
              <w:jc w:val="right"/>
            </w:pPr>
            <w:r>
              <w:rPr>
                <w:rFonts w:ascii="Times New Roman" w:hAnsi="Times New Roman" w:cs="Times New Roman"/>
                <w:b w:val="0"/>
                <w:sz w:val="20"/>
              </w:rPr>
              <w:t>10</w:t>
            </w:r>
          </w:p>
        </w:tc>
        <w:tc>
          <w:tcPr>
            <w:tcW w:type="dxa" w:w="2525"/>
            <w:vAlign w:val="center"/>
          </w:tcPr>
          <w:p>
            <w:pPr>
              <w:keepNext/>
              <w:keepLines/>
              <w:spacing w:before="60" w:after="60" w:line="245" w:lineRule="auto"/>
              <w:jc w:val="right"/>
            </w:pPr>
            <w:r>
              <w:rPr>
                <w:rFonts w:ascii="Times New Roman" w:hAnsi="Times New Roman" w:cs="Times New Roman"/>
                <w:b w:val="0"/>
                <w:sz w:val="20"/>
              </w:rPr>
              <w:t>10</w:t>
            </w:r>
          </w:p>
        </w:tc>
      </w:tr>
      <w:tr>
        <w:trPr>
          <w:cantSplit/>
        </w:trPr>
        <w:tc>
          <w:tcPr>
            <w:tcW w:type="dxa" w:w="2446"/>
            <w:vAlign w:val="center"/>
          </w:tcPr>
          <w:p>
            <w:pPr>
              <w:keepNext/>
              <w:keepLines/>
              <w:spacing w:before="60" w:after="60" w:line="245" w:lineRule="auto"/>
              <w:jc w:val="left"/>
            </w:pPr>
            <w:hyperlink r:id="rId22">
              <w:r>
                <w:rPr>
                  <w:rFonts w:ascii="Times New Roman" w:hAnsi="Times New Roman"/>
                  <w:u w:val="single"/>
                </w:rPr>
                <w:t>2022Q3</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15</w:t>
            </w:r>
          </w:p>
        </w:tc>
        <w:tc>
          <w:tcPr>
            <w:tcW w:type="dxa" w:w="2525"/>
            <w:vAlign w:val="center"/>
          </w:tcPr>
          <w:p>
            <w:pPr>
              <w:keepNext/>
              <w:keepLines/>
              <w:spacing w:before="60" w:after="60" w:line="245" w:lineRule="auto"/>
              <w:jc w:val="right"/>
            </w:pPr>
            <w:r>
              <w:rPr>
                <w:rFonts w:ascii="Times New Roman" w:hAnsi="Times New Roman" w:cs="Times New Roman"/>
                <w:b w:val="0"/>
                <w:sz w:val="20"/>
              </w:rPr>
              <w:t>14</w:t>
            </w:r>
          </w:p>
        </w:tc>
        <w:tc>
          <w:tcPr>
            <w:tcW w:type="dxa" w:w="2525"/>
            <w:vAlign w:val="center"/>
          </w:tcPr>
          <w:p>
            <w:pPr>
              <w:keepNext/>
              <w:keepLines/>
              <w:spacing w:before="60" w:after="60" w:line="245" w:lineRule="auto"/>
              <w:jc w:val="right"/>
            </w:pPr>
            <w:r>
              <w:rPr>
                <w:rFonts w:ascii="Times New Roman" w:hAnsi="Times New Roman" w:cs="Times New Roman"/>
                <w:b w:val="0"/>
                <w:sz w:val="20"/>
              </w:rPr>
              <w:t>14</w:t>
            </w:r>
          </w:p>
        </w:tc>
      </w:tr>
      <w:tr>
        <w:trPr>
          <w:cantSplit/>
        </w:trPr>
        <w:tc>
          <w:tcPr>
            <w:tcW w:type="dxa" w:w="2446"/>
            <w:vAlign w:val="center"/>
          </w:tcPr>
          <w:p>
            <w:pPr>
              <w:keepNext/>
              <w:keepLines/>
              <w:spacing w:before="60" w:after="60" w:line="245" w:lineRule="auto"/>
              <w:jc w:val="left"/>
            </w:pPr>
            <w:hyperlink r:id="rId23">
              <w:r>
                <w:rPr>
                  <w:rFonts w:ascii="Times New Roman" w:hAnsi="Times New Roman"/>
                  <w:u w:val="single"/>
                </w:rPr>
                <w:t>2022Q4</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15</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c>
          <w:tcPr>
            <w:tcW w:type="dxa" w:w="2525"/>
            <w:vAlign w:val="center"/>
          </w:tcPr>
          <w:p>
            <w:pPr>
              <w:keepNext/>
              <w:keepLines/>
              <w:spacing w:before="60" w:after="60" w:line="245" w:lineRule="auto"/>
              <w:jc w:val="right"/>
            </w:pPr>
            <w:r>
              <w:rPr>
                <w:rFonts w:ascii="Times New Roman" w:hAnsi="Times New Roman" w:cs="Times New Roman"/>
                <w:b w:val="0"/>
                <w:sz w:val="20"/>
              </w:rPr>
              <w:t>0</w:t>
            </w:r>
          </w:p>
        </w:tc>
      </w:tr>
      <w:tr>
        <w:trPr>
          <w:cantSplit/>
        </w:trPr>
        <w:tc>
          <w:tcPr>
            <w:tcW w:type="dxa" w:w="2446"/>
            <w:vAlign w:val="center"/>
          </w:tcPr>
          <w:p>
            <w:pPr>
              <w:keepNext/>
              <w:keepLines/>
              <w:spacing w:before="60" w:after="60" w:line="245" w:lineRule="auto"/>
              <w:jc w:val="left"/>
            </w:pPr>
            <w:hyperlink r:id="rId24">
              <w:r>
                <w:rPr>
                  <w:rFonts w:ascii="Times New Roman" w:hAnsi="Times New Roman"/>
                  <w:u w:val="single"/>
                </w:rPr>
                <w:t>2023Q1</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12</w:t>
            </w:r>
          </w:p>
        </w:tc>
        <w:tc>
          <w:tcPr>
            <w:tcW w:type="dxa" w:w="2525"/>
            <w:vAlign w:val="center"/>
          </w:tcPr>
          <w:p>
            <w:pPr>
              <w:keepNext/>
              <w:keepLines/>
              <w:spacing w:before="60" w:after="60" w:line="245" w:lineRule="auto"/>
              <w:jc w:val="right"/>
            </w:pPr>
            <w:r>
              <w:rPr>
                <w:rFonts w:ascii="Times New Roman" w:hAnsi="Times New Roman" w:cs="Times New Roman"/>
                <w:b w:val="0"/>
                <w:sz w:val="20"/>
              </w:rPr>
              <w:t>12</w:t>
            </w:r>
          </w:p>
        </w:tc>
      </w:tr>
      <w:tr>
        <w:trPr>
          <w:cantSplit/>
        </w:trPr>
        <w:tc>
          <w:tcPr>
            <w:tcW w:type="dxa" w:w="2446"/>
            <w:vAlign w:val="center"/>
          </w:tcPr>
          <w:p>
            <w:pPr>
              <w:keepNext/>
              <w:keepLines/>
              <w:spacing w:before="60" w:after="60" w:line="245" w:lineRule="auto"/>
              <w:jc w:val="left"/>
            </w:pPr>
            <w:hyperlink r:id="rId25">
              <w:r>
                <w:rPr>
                  <w:rFonts w:ascii="Times New Roman" w:hAnsi="Times New Roman"/>
                  <w:u w:val="single"/>
                </w:rPr>
                <w:t>2023Q2</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r>
      <w:tr>
        <w:trPr>
          <w:cantSplit/>
        </w:trPr>
        <w:tc>
          <w:tcPr>
            <w:tcW w:type="dxa" w:w="2446"/>
            <w:vAlign w:val="center"/>
          </w:tcPr>
          <w:p>
            <w:pPr>
              <w:keepNext/>
              <w:keepLines/>
              <w:spacing w:before="60" w:after="60" w:line="245" w:lineRule="auto"/>
              <w:jc w:val="left"/>
            </w:pPr>
            <w:hyperlink r:id="rId26">
              <w:r>
                <w:rPr>
                  <w:rFonts w:ascii="Times New Roman" w:hAnsi="Times New Roman"/>
                  <w:u w:val="single"/>
                </w:rPr>
                <w:t>2023Q3</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14</w:t>
            </w:r>
          </w:p>
        </w:tc>
        <w:tc>
          <w:tcPr>
            <w:tcW w:type="dxa" w:w="2525"/>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13</w:t>
            </w:r>
          </w:p>
        </w:tc>
      </w:tr>
      <w:tr>
        <w:trPr>
          <w:cantSplit/>
        </w:trPr>
        <w:tc>
          <w:tcPr>
            <w:tcW w:type="dxa" w:w="2446"/>
            <w:vAlign w:val="center"/>
          </w:tcPr>
          <w:p>
            <w:pPr>
              <w:keepNext/>
              <w:keepLines/>
              <w:spacing w:before="60" w:after="60" w:line="245" w:lineRule="auto"/>
              <w:jc w:val="left"/>
            </w:pPr>
            <w:hyperlink r:id="rId27">
              <w:r>
                <w:rPr>
                  <w:rFonts w:ascii="Times New Roman" w:hAnsi="Times New Roman"/>
                  <w:u w:val="single"/>
                </w:rPr>
                <w:t>2023Q4</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15</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c>
          <w:tcPr>
            <w:tcW w:type="dxa" w:w="2525"/>
            <w:vAlign w:val="center"/>
          </w:tcPr>
          <w:p>
            <w:pPr>
              <w:keepNext/>
              <w:keepLines/>
              <w:spacing w:before="60" w:after="60" w:line="245" w:lineRule="auto"/>
              <w:jc w:val="right"/>
            </w:pPr>
            <w:r>
              <w:rPr>
                <w:rFonts w:ascii="Times New Roman" w:hAnsi="Times New Roman" w:cs="Times New Roman"/>
                <w:b w:val="0"/>
                <w:sz w:val="20"/>
              </w:rPr>
              <w:t>0</w:t>
            </w:r>
          </w:p>
        </w:tc>
      </w:tr>
      <w:tr>
        <w:trPr>
          <w:cantSplit/>
        </w:trPr>
        <w:tc>
          <w:tcPr>
            <w:tcW w:type="dxa" w:w="2446"/>
            <w:vAlign w:val="center"/>
          </w:tcPr>
          <w:p>
            <w:pPr>
              <w:keepNext/>
              <w:keepLines/>
              <w:spacing w:before="60" w:after="60" w:line="245" w:lineRule="auto"/>
              <w:jc w:val="left"/>
            </w:pPr>
            <w:hyperlink r:id="rId28">
              <w:r>
                <w:rPr>
                  <w:rFonts w:ascii="Times New Roman" w:hAnsi="Times New Roman"/>
                  <w:u w:val="single"/>
                </w:rPr>
                <w:t>2024Q1</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10</w:t>
            </w:r>
          </w:p>
        </w:tc>
        <w:tc>
          <w:tcPr>
            <w:tcW w:type="dxa" w:w="2525"/>
            <w:vAlign w:val="center"/>
          </w:tcPr>
          <w:p>
            <w:pPr>
              <w:keepNext/>
              <w:keepLines/>
              <w:spacing w:before="60" w:after="60" w:line="245" w:lineRule="auto"/>
              <w:jc w:val="right"/>
            </w:pPr>
            <w:r>
              <w:rPr>
                <w:rFonts w:ascii="Times New Roman" w:hAnsi="Times New Roman" w:cs="Times New Roman"/>
                <w:b w:val="0"/>
                <w:sz w:val="20"/>
              </w:rPr>
              <w:t>10</w:t>
            </w:r>
          </w:p>
        </w:tc>
      </w:tr>
      <w:tr>
        <w:trPr>
          <w:cantSplit/>
        </w:trPr>
        <w:tc>
          <w:tcPr>
            <w:tcW w:type="dxa" w:w="2446"/>
            <w:vAlign w:val="center"/>
          </w:tcPr>
          <w:p>
            <w:pPr>
              <w:keepNext/>
              <w:keepLines/>
              <w:spacing w:before="60" w:after="60" w:line="245" w:lineRule="auto"/>
              <w:jc w:val="left"/>
            </w:pPr>
            <w:hyperlink r:id="rId29">
              <w:r>
                <w:rPr>
                  <w:rFonts w:ascii="Times New Roman" w:hAnsi="Times New Roman"/>
                  <w:u w:val="single"/>
                </w:rPr>
                <w:t>2024Q2</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14</w:t>
            </w:r>
          </w:p>
        </w:tc>
        <w:tc>
          <w:tcPr>
            <w:tcW w:type="dxa" w:w="2525"/>
            <w:vAlign w:val="center"/>
          </w:tcPr>
          <w:p>
            <w:pPr>
              <w:keepNext/>
              <w:keepLines/>
              <w:spacing w:before="60" w:after="60" w:line="245" w:lineRule="auto"/>
              <w:jc w:val="right"/>
            </w:pPr>
            <w:r>
              <w:rPr>
                <w:rFonts w:ascii="Times New Roman" w:hAnsi="Times New Roman" w:cs="Times New Roman"/>
                <w:b w:val="0"/>
                <w:sz w:val="20"/>
              </w:rPr>
              <w:t>12</w:t>
            </w:r>
          </w:p>
        </w:tc>
        <w:tc>
          <w:tcPr>
            <w:tcW w:type="dxa" w:w="2525"/>
            <w:vAlign w:val="center"/>
          </w:tcPr>
          <w:p>
            <w:pPr>
              <w:keepNext/>
              <w:keepLines/>
              <w:spacing w:before="60" w:after="60" w:line="245" w:lineRule="auto"/>
              <w:jc w:val="right"/>
            </w:pPr>
            <w:r>
              <w:rPr>
                <w:rFonts w:ascii="Times New Roman" w:hAnsi="Times New Roman" w:cs="Times New Roman"/>
                <w:b w:val="0"/>
                <w:sz w:val="20"/>
              </w:rPr>
              <w:t>0</w:t>
            </w:r>
          </w:p>
        </w:tc>
      </w:tr>
      <w:tr>
        <w:trPr>
          <w:cantSplit/>
        </w:trPr>
        <w:tc>
          <w:tcPr>
            <w:tcW w:type="dxa" w:w="2446"/>
            <w:vAlign w:val="center"/>
          </w:tcPr>
          <w:p>
            <w:pPr>
              <w:keepNext/>
              <w:keepLines/>
              <w:spacing w:before="60" w:after="60" w:line="245" w:lineRule="auto"/>
              <w:jc w:val="left"/>
            </w:pPr>
            <w:hyperlink r:id="rId30">
              <w:r>
                <w:rPr>
                  <w:rFonts w:ascii="Times New Roman" w:hAnsi="Times New Roman"/>
                  <w:u w:val="single"/>
                </w:rPr>
                <w:t>2024Q3</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14</w:t>
            </w:r>
          </w:p>
        </w:tc>
        <w:tc>
          <w:tcPr>
            <w:tcW w:type="dxa" w:w="2525"/>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13</w:t>
            </w:r>
          </w:p>
        </w:tc>
      </w:tr>
      <w:tr>
        <w:trPr>
          <w:cantSplit/>
        </w:trPr>
        <w:tc>
          <w:tcPr>
            <w:tcW w:type="dxa" w:w="2446"/>
            <w:vAlign w:val="center"/>
          </w:tcPr>
          <w:p>
            <w:pPr>
              <w:keepNext/>
              <w:keepLines/>
              <w:spacing w:before="60" w:after="60" w:line="245" w:lineRule="auto"/>
              <w:jc w:val="left"/>
            </w:pPr>
            <w:hyperlink r:id="rId31">
              <w:r>
                <w:rPr>
                  <w:rFonts w:ascii="Times New Roman" w:hAnsi="Times New Roman"/>
                  <w:u w:val="single"/>
                </w:rPr>
                <w:t>2024Q4</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15</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r>
      <w:tr>
        <w:trPr>
          <w:cantSplit/>
        </w:trPr>
        <w:tc>
          <w:tcPr>
            <w:tcW w:type="dxa" w:w="2446"/>
            <w:vAlign w:val="center"/>
          </w:tcPr>
          <w:p>
            <w:pPr>
              <w:keepNext/>
              <w:keepLines/>
              <w:spacing w:before="60" w:after="60" w:line="245" w:lineRule="auto"/>
              <w:jc w:val="left"/>
            </w:pPr>
            <w:hyperlink r:id="rId32">
              <w:r>
                <w:rPr>
                  <w:rFonts w:ascii="Times New Roman" w:hAnsi="Times New Roman"/>
                  <w:u w:val="single"/>
                </w:rPr>
                <w:t>2025Q1</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14</w:t>
            </w:r>
          </w:p>
        </w:tc>
        <w:tc>
          <w:tcPr>
            <w:tcW w:type="dxa" w:w="2525"/>
            <w:vAlign w:val="center"/>
          </w:tcPr>
          <w:p>
            <w:pPr>
              <w:keepNext/>
              <w:keepLines/>
              <w:spacing w:before="60" w:after="60" w:line="245" w:lineRule="auto"/>
              <w:jc w:val="right"/>
            </w:pPr>
            <w:r>
              <w:rPr>
                <w:rFonts w:ascii="Times New Roman" w:hAnsi="Times New Roman" w:cs="Times New Roman"/>
                <w:b w:val="0"/>
                <w:sz w:val="20"/>
              </w:rPr>
              <w:t>12</w:t>
            </w:r>
          </w:p>
        </w:tc>
        <w:tc>
          <w:tcPr>
            <w:tcW w:type="dxa" w:w="2525"/>
            <w:vAlign w:val="center"/>
          </w:tcPr>
          <w:p>
            <w:pPr>
              <w:keepNext/>
              <w:keepLines/>
              <w:spacing w:before="60" w:after="60" w:line="245" w:lineRule="auto"/>
              <w:jc w:val="right"/>
            </w:pPr>
            <w:r>
              <w:rPr>
                <w:rFonts w:ascii="Times New Roman" w:hAnsi="Times New Roman" w:cs="Times New Roman"/>
                <w:b w:val="0"/>
                <w:sz w:val="20"/>
              </w:rPr>
              <w:t>11</w:t>
            </w:r>
          </w:p>
        </w:tc>
      </w:tr>
      <w:tr>
        <w:trPr>
          <w:cantSplit/>
        </w:trPr>
        <w:tc>
          <w:tcPr>
            <w:tcW w:type="dxa" w:w="2446"/>
            <w:vAlign w:val="center"/>
          </w:tcPr>
          <w:p>
            <w:pPr>
              <w:keepNext/>
              <w:keepLines/>
              <w:spacing w:before="60" w:after="60" w:line="245" w:lineRule="auto"/>
              <w:jc w:val="left"/>
            </w:pPr>
            <w:hyperlink r:id="rId33">
              <w:r>
                <w:rPr>
                  <w:rFonts w:ascii="Times New Roman" w:hAnsi="Times New Roman"/>
                  <w:u w:val="single"/>
                </w:rPr>
                <w:t>2025Q2</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15</w:t>
            </w:r>
          </w:p>
        </w:tc>
        <w:tc>
          <w:tcPr>
            <w:tcW w:type="dxa" w:w="2525"/>
            <w:vAlign w:val="center"/>
          </w:tcPr>
          <w:p>
            <w:pPr>
              <w:keepNext/>
              <w:keepLines/>
              <w:spacing w:before="60" w:after="60" w:line="245" w:lineRule="auto"/>
              <w:jc w:val="right"/>
            </w:pPr>
            <w:r>
              <w:rPr>
                <w:rFonts w:ascii="Times New Roman" w:hAnsi="Times New Roman" w:cs="Times New Roman"/>
                <w:b w:val="0"/>
                <w:sz w:val="20"/>
              </w:rPr>
              <w:t>10</w:t>
            </w:r>
          </w:p>
        </w:tc>
        <w:tc>
          <w:tcPr>
            <w:tcW w:type="dxa" w:w="2525"/>
            <w:vAlign w:val="center"/>
          </w:tcPr>
          <w:p>
            <w:pPr>
              <w:keepNext/>
              <w:keepLines/>
              <w:spacing w:before="60" w:after="60" w:line="245" w:lineRule="auto"/>
              <w:jc w:val="right"/>
            </w:pPr>
            <w:r>
              <w:rPr>
                <w:rFonts w:ascii="Times New Roman" w:hAnsi="Times New Roman" w:cs="Times New Roman"/>
                <w:b w:val="0"/>
                <w:sz w:val="20"/>
              </w:rPr>
              <w:t>10</w:t>
            </w:r>
          </w:p>
        </w:tc>
      </w:tr>
      <w:tr>
        <w:trPr>
          <w:cantSplit/>
        </w:trPr>
        <w:tc>
          <w:tcPr>
            <w:tcW w:type="dxa" w:w="2446"/>
            <w:vAlign w:val="center"/>
          </w:tcPr>
          <w:p>
            <w:pPr>
              <w:keepNext/>
              <w:keepLines/>
              <w:spacing w:before="60" w:after="60" w:line="245" w:lineRule="auto"/>
              <w:jc w:val="left"/>
            </w:pPr>
            <w:hyperlink r:id="rId34">
              <w:r>
                <w:rPr>
                  <w:rFonts w:ascii="Times New Roman" w:hAnsi="Times New Roman"/>
                  <w:u w:val="single"/>
                </w:rPr>
                <w:t>2025Q3</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15</w:t>
            </w:r>
          </w:p>
        </w:tc>
        <w:tc>
          <w:tcPr>
            <w:tcW w:type="dxa" w:w="2525"/>
            <w:vAlign w:val="center"/>
          </w:tcPr>
          <w:p>
            <w:pPr>
              <w:keepNext/>
              <w:keepLines/>
              <w:spacing w:before="60" w:after="60" w:line="245" w:lineRule="auto"/>
              <w:jc w:val="right"/>
            </w:pPr>
            <w:r>
              <w:rPr>
                <w:rFonts w:ascii="Times New Roman" w:hAnsi="Times New Roman" w:cs="Times New Roman"/>
                <w:b w:val="0"/>
                <w:sz w:val="20"/>
              </w:rPr>
              <w:t>13</w:t>
            </w:r>
          </w:p>
        </w:tc>
        <w:tc>
          <w:tcPr>
            <w:tcW w:type="dxa" w:w="2525"/>
            <w:vAlign w:val="center"/>
          </w:tcPr>
          <w:p>
            <w:pPr>
              <w:keepNext/>
              <w:keepLines/>
              <w:spacing w:before="60" w:after="60" w:line="245" w:lineRule="auto"/>
              <w:jc w:val="right"/>
            </w:pPr>
            <w:r>
              <w:rPr>
                <w:rFonts w:ascii="Times New Roman" w:hAnsi="Times New Roman" w:cs="Times New Roman"/>
                <w:b w:val="0"/>
                <w:sz w:val="20"/>
              </w:rPr>
              <w:t>13</w:t>
            </w:r>
          </w:p>
        </w:tc>
      </w:tr>
      <w:tr>
        <w:trPr>
          <w:cantSplit/>
        </w:trPr>
        <w:tc>
          <w:tcPr>
            <w:tcW w:type="dxa" w:w="2446"/>
            <w:vAlign w:val="center"/>
          </w:tcPr>
          <w:p>
            <w:pPr>
              <w:keepNext/>
              <w:keepLines/>
              <w:spacing w:before="60" w:after="60" w:line="245" w:lineRule="auto"/>
              <w:jc w:val="left"/>
            </w:pPr>
            <w:hyperlink r:id="rId35">
              <w:r>
                <w:rPr>
                  <w:rFonts w:ascii="Times New Roman" w:hAnsi="Times New Roman"/>
                  <w:u w:val="single"/>
                </w:rPr>
                <w:t>2025Q4</w:t>
              </w:r>
            </w:hyperlink>
          </w:p>
        </w:tc>
        <w:tc>
          <w:tcPr>
            <w:tcW w:type="dxa" w:w="2367"/>
            <w:vAlign w:val="center"/>
          </w:tcPr>
          <w:p>
            <w:pPr>
              <w:keepNext/>
              <w:keepLines/>
              <w:spacing w:before="60" w:after="60" w:line="245" w:lineRule="auto"/>
              <w:jc w:val="right"/>
            </w:pPr>
            <w:r>
              <w:rPr>
                <w:rFonts w:ascii="Times New Roman" w:hAnsi="Times New Roman" w:cs="Times New Roman"/>
                <w:b w:val="0"/>
                <w:sz w:val="20"/>
              </w:rPr>
              <w:t>16</w:t>
            </w:r>
          </w:p>
        </w:tc>
        <w:tc>
          <w:tcPr>
            <w:tcW w:type="dxa" w:w="2525"/>
            <w:vAlign w:val="center"/>
          </w:tcPr>
          <w:p>
            <w:pPr>
              <w:keepNext/>
              <w:keepLines/>
              <w:spacing w:before="60" w:after="60" w:line="245" w:lineRule="auto"/>
              <w:jc w:val="right"/>
            </w:pPr>
            <w:r>
              <w:rPr>
                <w:rFonts w:ascii="Times New Roman" w:hAnsi="Times New Roman" w:cs="Times New Roman"/>
                <w:b w:val="0"/>
                <w:sz w:val="20"/>
              </w:rPr>
              <w:t>10</w:t>
            </w:r>
          </w:p>
        </w:tc>
        <w:tc>
          <w:tcPr>
            <w:tcW w:type="dxa" w:w="2525"/>
            <w:vAlign w:val="center"/>
          </w:tcPr>
          <w:p>
            <w:pPr>
              <w:keepNext/>
              <w:keepLines/>
              <w:spacing w:before="60" w:after="60" w:line="245" w:lineRule="auto"/>
              <w:jc w:val="right"/>
            </w:pPr>
            <w:r>
              <w:rPr>
                <w:rFonts w:ascii="Times New Roman" w:hAnsi="Times New Roman" w:cs="Times New Roman"/>
                <w:b w:val="0"/>
                <w:sz w:val="20"/>
              </w:rPr>
              <w:t>10</w:t>
            </w:r>
          </w:p>
        </w:tc>
      </w:tr>
    </w:tbl>
    <w:p>
      <w:pPr>
        <w:pStyle w:val="TableNote"/>
        <w:keepNext w:val="0"/>
        <w:keepLines/>
        <w:pageBreakBefore w:val="0"/>
        <w:spacing w:after="160"/>
        <w:ind w:left="0" w:right="0" w:firstLine="0"/>
      </w:pPr>
      <w:r>
        <w:rPr>
          <w:rFonts w:ascii="Times New Roman" w:hAnsi="Times New Roman" w:cs="Times New Roman"/>
          <w:sz w:val="19"/>
        </w:rPr>
        <w:t>Note: Page numbers are those recorded in the targeted source-definition audit. Quarter identifiers link to the recorded official source URLs. FULL24_SOURCE_INDEX.json and the accompanying SOURCE_CATALOG.md retain the file hashes and exact edition links. Three quarters contribute no eligible reference observations; one source-date conflict is excluded in 2025Q1. The original reports and row-level price panels are not republished here. These locators do not authenticate a native tick stream, quote age or complete UTC deadline history.</w:t>
      </w:r>
    </w:p>
    <w:p>
      <w:pPr>
        <w:pStyle w:val="BodyText"/>
        <w:keepNext w:val="0"/>
        <w:pageBreakBefore w:val="0"/>
        <w:spacing w:line="269" w:lineRule="auto" w:before="0" w:after="120"/>
        <w:ind w:left="0" w:right="0" w:firstLine="0"/>
      </w:pPr>
      <w:r>
        <w:rPr>
          <w:rFonts w:ascii="Times New Roman" w:hAnsi="Times New Roman" w:cs="Times New Roman"/>
          <w:sz w:val="23"/>
        </w:rPr>
        <w:t>Data-access statement: analysis code and aggregate outputs are available through the fixed repository links in DATA_ACCESS_AND_REPRODUCTION.md. The authors hold the matched German price inputs, whose unrestricted redistribution has not been authorized. Access enquiries may be sent to Zhongfei Tian (15517837680@163.com); any provision of these files remains conditional on applicable provider permission and reuse conditions. Official editions can also be sought through the source URLs linked in Table S14. A different downloaded file must not silently replace an identified snapshot. The exact 2026 quantity snapshot is not publicly deposited, and the recorded hash is not itself a data archive.</w:t>
      </w:r>
    </w:p>
    <w:p>
      <w:pPr>
        <w:pStyle w:val="Heading2"/>
        <w:pageBreakBefore w:val="0"/>
        <w:widowControl/>
        <w:ind w:left="0" w:right="0" w:firstLine="0"/>
      </w:pPr>
      <w:r>
        <w:rPr>
          <w:rFonts w:ascii="Times New Roman" w:hAnsi="Times New Roman" w:cs="Times New Roman"/>
          <w:sz w:val="23"/>
        </w:rPr>
        <w:t>Additional references</w:t>
      </w:r>
    </w:p>
    <w:p>
      <w:pPr>
        <w:pStyle w:val="Reference"/>
        <w:keepLines/>
        <w:pageBreakBefore w:val="0"/>
        <w:ind w:left="227" w:right="0" w:hanging="227"/>
      </w:pPr>
      <w:r>
        <w:rPr>
          <w:rFonts w:ascii="Times New Roman" w:hAnsi="Times New Roman" w:cs="Times New Roman"/>
          <w:sz w:val="21"/>
        </w:rPr>
        <w:t>German Emissions Trading Authority (DEHSt) (2020–2025) Quarterly reports on German auctions of emission allowances. Umweltbundesamt, Berlin. Report-specific editions, Table 4 page locators and source URLs are recorded in Online Resource 1, Section S17, and the accompanying source ledger.</w:t>
      </w:r>
    </w:p>
    <w:p>
      <w:pPr>
        <w:pStyle w:val="Reference"/>
        <w:pageBreakBefore w:val="0"/>
        <w:widowControl/>
        <w:ind w:left="227" w:right="0" w:hanging="227"/>
      </w:pPr>
      <w:r>
        <w:rPr>
          <w:rFonts w:ascii="Times New Roman" w:hAnsi="Times New Roman" w:cs="Times New Roman"/>
          <w:sz w:val="21"/>
        </w:rPr>
        <w:t>Li F, Morgan KL, Zaslavsky AM (2018) Balancing covariates via propensity score weighting. Journal of the American Statistical Association 113:390–400. https://doi.org/10.1080/01621459.2016.1260466</w:t>
      </w:r>
    </w:p>
    <w:p>
      <w:pPr>
        <w:pStyle w:val="Reference"/>
        <w:pageBreakBefore w:val="0"/>
        <w:ind w:left="227" w:right="0" w:hanging="227"/>
      </w:pPr>
      <w:r>
        <w:rPr>
          <w:rFonts w:ascii="Times New Roman" w:hAnsi="Times New Roman" w:cs="Times New Roman"/>
          <w:sz w:val="21"/>
        </w:rPr>
        <w:t>MacKinnon JG, Nielsen MØ, Webb MD (2023) Fast and reliable jackknife and bootstrap methods for cluster-robust inference. Journal of Applied Econometrics 38:671–694. https://doi.org/10.1002/jae.2969</w:t>
      </w:r>
    </w:p>
    <w:sectPr>
      <w:headerReference w:type="default" r:id="rId9"/>
      <w:footerReference w:type="default" r:id="rId10"/>
      <w:pgSz w:h="16838" w:w="11906"/>
      <w:pgMar w:bottom="1134" w:footer="567" w:header="454"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cs="Times New Roman"/>
        <w:sz w:val="16"/>
      </w:rPr>
      <w:t>ONLINE RESOURCE 1 | QUANTITY AND PRICE EVIDENCE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20" w:before="0" w:line="269" w:lineRule="auto"/>
      <w:ind w:firstLine="0"/>
    </w:pPr>
    <w:rPr>
      <w:rFonts w:ascii="Times New Roman" w:hAnsi="Times New Roman"/>
      <w:color w:val="000000"/>
      <w:sz w:val="23"/>
      <w:lang w:val="en-GB"/>
    </w:rPr>
  </w:style>
  <w:style w:styleId="BodyText" w:type="paragraph">
    <w:name w:val="Body Text"/>
    <w:basedOn w:val="Normal"/>
    <w:link w:val="BodyTextChar"/>
    <w:qFormat/>
    <w:pPr>
      <w:keepNext w:val="0"/>
      <w:widowControl/>
      <w:spacing w:after="120" w:before="0" w:line="269" w:lineRule="auto"/>
      <w:ind w:firstLine="0"/>
    </w:pPr>
    <w:rPr>
      <w:rFonts w:ascii="Times New Roman" w:hAnsi="Times New Roman"/>
      <w:color w:val="000000"/>
      <w:sz w:val="23"/>
    </w:rPr>
  </w:style>
  <w:style w:customStyle="1" w:styleId="FirstParagraph" w:type="paragraph">
    <w:name w:val="First Paragraph"/>
    <w:basedOn w:val="BodyText"/>
    <w:next w:val="BodyText"/>
    <w:qFormat/>
    <w:pPr>
      <w:keepNext w:val="0"/>
      <w:widowControl/>
      <w:spacing w:after="120" w:before="0" w:line="269" w:lineRule="auto"/>
      <w:ind w:firstLine="0"/>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4"/>
      <w:szCs w:val="36"/>
    </w:rPr>
  </w:style>
  <w:style w:styleId="Subtitle" w:type="paragraph">
    <w:name w:val="Subtitle"/>
    <w:basedOn w:val="Title"/>
    <w:next w:val="BodyText"/>
    <w:qFormat/>
    <w:pPr>
      <w:keepNext/>
      <w:keepLines/>
      <w:spacing w:after="100" w:before="0" w:line="245" w:lineRule="auto"/>
      <w:jc w:val="center"/>
    </w:pPr>
    <w:rPr>
      <w:rFonts w:ascii="Times New Roman" w:hAnsi="Times New Roman"/>
      <w:b w:val="0"/>
      <w:color w:val="000000"/>
      <w:sz w:val="24"/>
      <w:szCs w:val="30"/>
    </w:rPr>
  </w:style>
  <w:style w:customStyle="1" w:styleId="Author" w:type="paragraph">
    <w:name w:val="Author"/>
    <w:next w:val="BodyText"/>
    <w:qFormat/>
    <w:pPr>
      <w:keepNext/>
      <w:keepLines/>
      <w:spacing w:after="100" w:line="245" w:lineRule="auto"/>
      <w:jc w:val="center"/>
    </w:pPr>
    <w:rPr>
      <w:rFonts w:ascii="Times New Roman" w:hAnsi="Times New Roman"/>
      <w:color w:val="000000"/>
      <w:sz w:val="22"/>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eading1">
    <w:name w:val="heading 1"/>
    <w:pPr>
      <w:keepNext/>
      <w:spacing w:before="260" w:after="120" w:line="240" w:lineRule="auto"/>
    </w:pPr>
    <w:rPr>
      <w:rFonts w:ascii="Times New Roman" w:hAnsi="Times New Roman"/>
      <w:b/>
      <w:color w:val="000000"/>
      <w:sz w:val="26"/>
    </w:rPr>
  </w:style>
  <w:style w:type="paragraph" w:customStyle="1" w:styleId="Heading2">
    <w:name w:val="heading 2"/>
    <w:pPr>
      <w:keepNext/>
      <w:spacing w:before="260" w:after="120" w:line="240" w:lineRule="auto"/>
    </w:pPr>
    <w:rPr>
      <w:rFonts w:ascii="Times New Roman" w:hAnsi="Times New Roman"/>
      <w:b/>
      <w:color w:val="000000"/>
      <w:sz w:val="23"/>
    </w:rPr>
  </w:style>
  <w:style w:type="paragraph" w:customStyle="1" w:styleId="Heading3">
    <w:name w:val="heading 3"/>
    <w:pPr>
      <w:keepNext/>
      <w:spacing w:before="260" w:after="120" w:line="240" w:lineRule="auto"/>
    </w:pPr>
    <w:rPr>
      <w:rFonts w:ascii="Times New Roman" w:hAnsi="Times New Roman"/>
      <w:b/>
      <w:i/>
      <w:color w:val="000000"/>
      <w:sz w:val="23"/>
    </w:rPr>
  </w:style>
  <w:style w:type="paragraph" w:customStyle="1" w:styleId="Caption">
    <w:name w:val="caption"/>
    <w:pPr>
      <w:keepNext/>
      <w:spacing w:after="100" w:line="245" w:lineRule="auto"/>
    </w:pPr>
    <w:rPr>
      <w:rFonts w:ascii="Times New Roman" w:hAnsi="Times New Roman"/>
      <w:b w:val="0"/>
      <w:color w:val="000000"/>
      <w:sz w:val="21"/>
    </w:rPr>
  </w:style>
  <w:style w:type="paragraph" w:customStyle="1" w:styleId="TableNote">
    <w:name w:val="Table Note"/>
    <w:pPr>
      <w:spacing w:after="100" w:line="245" w:lineRule="auto"/>
    </w:pPr>
    <w:rPr>
      <w:rFonts w:ascii="Times New Roman" w:hAnsi="Times New Roman"/>
      <w:color w:val="000000"/>
      <w:sz w:val="19"/>
    </w:rPr>
  </w:style>
  <w:style w:type="paragraph" w:customStyle="1" w:styleId="Reference">
    <w:name w:val="Reference"/>
    <w:pPr>
      <w:spacing w:after="100" w:line="245" w:lineRule="auto"/>
      <w:ind w:left="227" w:hanging="227"/>
    </w:pPr>
    <w:rPr>
      <w:rFonts w:ascii="Times New Roman" w:hAnsi="Times New Roman"/>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limate.ec.europa.eu/system/files/2020-06/ger_report_202003_en.pdf" TargetMode="External"/><Relationship Id="rId13" Type="http://schemas.openxmlformats.org/officeDocument/2006/relationships/hyperlink" Target="https://www.dehst.de/SharedDocs/downloads/DE/versteigerung/2020/2020_Bericht_Q2.pdf?__blob=publicationFile&amp;v=3" TargetMode="External"/><Relationship Id="rId14" Type="http://schemas.openxmlformats.org/officeDocument/2006/relationships/hyperlink" Target="https://climate.ec.europa.eu/document/download/2ce5a6a2-bb40-4538-8569-c40c877154e0_en" TargetMode="External"/><Relationship Id="rId15" Type="http://schemas.openxmlformats.org/officeDocument/2006/relationships/hyperlink" Target="https://climate.ec.europa.eu/document/download/4fc4af05-7acd-4ce4-b007-41c67b399411_en" TargetMode="External"/><Relationship Id="rId16" Type="http://schemas.openxmlformats.org/officeDocument/2006/relationships/hyperlink" Target="https://www.dehst.de/SharedDocs/downloads/DE/versteigerung/2021/2021_Bericht_Q1.pdf?__blob=publicationFile&amp;v=3" TargetMode="External"/><Relationship Id="rId17" Type="http://schemas.openxmlformats.org/officeDocument/2006/relationships/hyperlink" Target="https://www.dehst.de/SharedDocs/downloads/DE/versteigerung/2021/2021_Bericht_Q2.pdf?__blob=publicationFile&amp;v=3" TargetMode="External"/><Relationship Id="rId18" Type="http://schemas.openxmlformats.org/officeDocument/2006/relationships/hyperlink" Target="https://www.dehst.de/SharedDocs/downloads/DE/versteigerung/2021/2021_Bericht_Q3.pdf?__blob=publicationFile&amp;v=3" TargetMode="External"/><Relationship Id="rId19" Type="http://schemas.openxmlformats.org/officeDocument/2006/relationships/hyperlink" Target="https://www.dehst.de/SharedDocs/downloads/DE/versteigerung/2021/2021_Bericht_Q4.pdf?__blob=publicationFile&amp;v=3" TargetMode="External"/><Relationship Id="rId20" Type="http://schemas.openxmlformats.org/officeDocument/2006/relationships/hyperlink" Target="https://openumwelt.de/server/api/core/bitstreams/f21a9a64-169a-4fef-bcce-d1cb0758d128/content" TargetMode="External"/><Relationship Id="rId21" Type="http://schemas.openxmlformats.org/officeDocument/2006/relationships/hyperlink" Target="https://www.dehst.de/SharedDocs/downloads/DE/versteigerung/2022/2022_Bericht_Q2.pdf?__blob=publicationFile&amp;v=3" TargetMode="External"/><Relationship Id="rId22" Type="http://schemas.openxmlformats.org/officeDocument/2006/relationships/hyperlink" Target="https://www.dehst.de/SharedDocs/downloads/DE/versteigerung/2022/2022_Bericht_Q3.pdf?__blob=publicationFile&amp;v=3" TargetMode="External"/><Relationship Id="rId23" Type="http://schemas.openxmlformats.org/officeDocument/2006/relationships/hyperlink" Target="https://www.dehst.de/SharedDocs/downloads/DE/versteigerung/2022/2022_Bericht_Q4.pdf?__blob=publicationFile&amp;v=3" TargetMode="External"/><Relationship Id="rId24" Type="http://schemas.openxmlformats.org/officeDocument/2006/relationships/hyperlink" Target="http://www.dehst.de/SharedDocs/downloads/DE/versteigerung/2023/2023_Bericht_Q1.pdf?__blob=publicationFile&amp;v=4" TargetMode="External"/><Relationship Id="rId25" Type="http://schemas.openxmlformats.org/officeDocument/2006/relationships/hyperlink" Target="https://www.dehst.de/SharedDocs/downloads/DE/versteigerung/2023/2023_Bericht_Q2.pdf?__blob=publicationFile&amp;v=3" TargetMode="External"/><Relationship Id="rId26" Type="http://schemas.openxmlformats.org/officeDocument/2006/relationships/hyperlink" Target="https://www.dehst.de/SharedDocs/downloads/DE/versteigerung/2023/2023_Bericht_Q3.pdf?__blob=publicationFile&amp;v=3" TargetMode="External"/><Relationship Id="rId27" Type="http://schemas.openxmlformats.org/officeDocument/2006/relationships/hyperlink" Target="https://www.dehst.de/SharedDocs/downloads/DE/versteigerung/2023/2023_Bericht_Q4.pdf?__blob=publicationFile&amp;v=3" TargetMode="External"/><Relationship Id="rId28" Type="http://schemas.openxmlformats.org/officeDocument/2006/relationships/hyperlink" Target="https://www.dehst.de/SharedDocs/downloads/DE/versteigerung/2024/2024_Bericht_Q1.pdf?__blob=publicationFile&amp;v=3" TargetMode="External"/><Relationship Id="rId29" Type="http://schemas.openxmlformats.org/officeDocument/2006/relationships/hyperlink" Target="https://www.dehst.de/SharedDocs/downloads/DE/versteigerung/2024/2024_Bericht_Q2.pdf?__blob=publicationFile&amp;v=7" TargetMode="External"/><Relationship Id="rId30" Type="http://schemas.openxmlformats.org/officeDocument/2006/relationships/hyperlink" Target="https://www.dehst.de/SharedDocs/downloads/DE/versteigerung/2024/2024_Bericht_Q3.pdf?__blob=publicationFile&amp;v=3" TargetMode="External"/><Relationship Id="rId31" Type="http://schemas.openxmlformats.org/officeDocument/2006/relationships/hyperlink" Target="https://www.dehst.de/SharedDocs/downloads/DE/versteigerung/2024/2024_Bericht_Q4.pdf?__blob=publicationFile&amp;v=3" TargetMode="External"/><Relationship Id="rId32" Type="http://schemas.openxmlformats.org/officeDocument/2006/relationships/hyperlink" Target="https://www.dehst.de/SharedDocs/downloads/DE/versteigerung/2025/2025_Bericht_Q1.pdf?__blob=publicationFile&amp;v=3" TargetMode="External"/><Relationship Id="rId33" Type="http://schemas.openxmlformats.org/officeDocument/2006/relationships/hyperlink" Target="https://dehst.de/SharedDocs/downloads/DE/versteigerung/2025/2025_Bericht_Q2.pdf?__blob=publicationFile&amp;v=5" TargetMode="External"/><Relationship Id="rId34" Type="http://schemas.openxmlformats.org/officeDocument/2006/relationships/hyperlink" Target="https://www.dehst.de/SharedDocs/downloads/DE/versteigerung/2025/2025_Bericht_Q3.pdf?__blob=publicationFile&amp;v=3" TargetMode="External"/><Relationship Id="rId35" Type="http://schemas.openxmlformats.org/officeDocument/2006/relationships/hyperlink" Target="https://www.dehst.de/SharedDocs/downloads/DE/versteigerung/2025/2025_Bericht_Q4.pdf?__blob=publicationFile&amp;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Quantity dispersion and reported price deviations</dc:title>
  <dc:creator>Zhongfei Tian; Xiang Wang</dc:creator>
  <cp:keywords>EUA auctions; quantity dispersion; reported price deviations</cp:keywords>
  <dcterms:created xsi:type="dcterms:W3CDTF">2026-10-10T00:00:00Z</dcterms:created>
  <dcterms:modified xsi:type="dcterms:W3CDTF">2026-10-11T12:00:00Z</dcterms:modified>
  <cp:lastModifiedBy>Zhongfei Tian</cp:lastModifiedBy>
  <dc:subject>Integrated author-review v9; completed price evidence, no new fits</dc:subject>
  <dc:description/>
</cp:coreProperties>
</file>

<file path=docProps/custom.xml><?xml version="1.0" encoding="utf-8"?>
<Properties xmlns="http://schemas.openxmlformats.org/officeDocument/2006/custom-properties" xmlns:vt="http://schemas.openxmlformats.org/officeDocument/2006/docPropsVTypes"/>
</file>