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Quantity dispersion and reported price deviations in European carbon auctions</w:t>
      </w:r>
    </w:p>
    <w:p>
      <w:pPr>
        <w:pStyle w:val="FirstParagraph"/>
        <w:widowControl/>
        <w:spacing w:after="200"/>
        <w:jc w:val="center"/>
      </w:pPr>
      <w:r>
        <w:t>Conditional associations and historical scope</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Published carbon-auction statistics summarize quantities, participation and prices, but their joint information is not captured by marginal summaries alone. We examine reported bid and award dispersion in 1,281 successful European Union Allowance auctions during 2020–2025, and extend the analysis to official price comparisons for 240 German auctions. Conditional residual correlations between the two quantity ratios are about 0.65 under two transformations. Their association is stronger in 2023–2025 despite lower marginal medians; selected-moment standardization retains positive period contrasts without balancing the full auction-volume distribution. In the German subsample, bid dispersion is negatively associated with the official-reported signed percentage deviation after controlling for auction scale, participation, demand coverage, bid-price range, the same-auction clearing price and year effects. An observed interquartile range of transformed dispersion corresponds to a fitted difference of −14.51 basis points, with an exploratory quarter-clustered 95% interval of [−23.00, −6.01]. The direction persists in two predefined source subsets, but the absolute-deviation interval includes zero and omitting 2022 materially attenuates the coefficient. A separate 2026 quantity sample retains positive association but has a short time axis. The findings distinguish quantity co-variation from the location and magnitude of reported price deviations. They provide conditional empirical information, not evidence of causal allocation effects, improved pricing efficiency or forecast performance; inference remains exploratory and the official signed convention is retained.</w:t>
      </w:r>
    </w:p>
    <w:p>
      <w:pPr>
        <w:pStyle w:val="BodyText"/>
        <w:widowControl/>
      </w:pPr>
      <w:r>
        <w:t>Keywords: European Union Allowances; primary auctions; quantity dispersion; reported price deviations;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Carbon-auction reports describe how much is bid, how many participants bid, and how quantities and prices differ across completed auctions. Official publications present quantity moments alongside volume and bidder counts, while market surveillance also considers participation and concentration (European Commission 2024; ESMA 2025). These summaries address distinct questions. Participation and aggregate demand do not fully describe the distribution of submitted quantities, and the dispersion of those quantities need not duplicate the information in the range of submitted prices. We study whether the reported quantity moments are associated with award dispersion and, in a matched German subsample, with official-reported price deviations.</w:t>
      </w:r>
    </w:p>
    <w:p>
      <w:pPr>
        <w:pStyle w:val="BodyText"/>
        <w:widowControl/>
      </w:pPr>
      <w:r>
        <w:t>Awards originate in bids, so a positive relationship between their dispersion is plausible. Its conditional magnitude and historical scope nevertheless require measurement rather than assumption. Our first question is how strongly the two reported quantity ratios co-vary after accounting for scale and participation, including whether that association differs between 2020–2022 and 2023–2025. The second question is whether bid dispersion has a price-related association beyond conventional auction characteristics. Both questions concern completed auction reports, not matched bidders or decisions observed before bidding.</w:t>
      </w:r>
    </w:p>
    <w:p>
      <w:pPr>
        <w:pStyle w:val="BodyText"/>
        <w:widowControl/>
      </w:pPr>
      <w:r>
        <w:t>The quantity analysis uses 1,281 successful auctions in the EU, DE and PL reporting series of the European Energy Exchange (EEX). It compares common-sample transformations, separate historical projections, a selected-moment composition adjustment and an additional 2026 time segment. The price extension uses 240 successful German auctions in 21 quarters, matched to official-reported secondary-market comparisons. It adds the bid-dispersion ratio to a fixed baseline containing scale, participation, demand coverage, submitted-price range, the same-auction clearing price, year effects and reference type. The two samples answer complementary questions; the price comparisons do not cover all 1,281 auctions.</w:t>
      </w:r>
    </w:p>
    <w:p>
      <w:pPr>
        <w:pStyle w:val="BodyText"/>
        <w:widowControl/>
      </w:pPr>
      <w:r>
        <w:t>Three findings organize the analysis. First, the quantity ratios have residual correlations near 0.65, with stronger association in the later historical period despite lower marginal ratio levels. Second, the German price comparison yields a negative conditional association: an observed interquartile range of transformed bid dispersion corresponds to a fitted signed-deviation difference of −14.51 basis points. Third, this is not evidence of convergence toward the reference price. The absolute-deviation interval includes zero, and the signed coefficient is sensitive in magnitude to observations from 2022. Composition and new-time checks further delimit, rather than universalize, the quantity finding.</w:t>
      </w:r>
    </w:p>
    <w:p>
      <w:pPr>
        <w:pStyle w:val="BodyText"/>
        <w:widowControl/>
      </w:pPr>
      <w:r>
        <w:t>Our contribution is to connect two forms of report-level information without treating them as interchangeable. Relative to the quantity summaries in official reports, we quantify conditional co-variation and its historical heterogeneity. Relative to price-focused auction analysis such as Bosco (2023), we examine the incremental association of a quantity-dispersion measure with reported price deviations, conditioning on conventional demand, participation and submitted-price variables. The distinction between signed and absolute deviations is substantive: the evidence concerns where the reported comparison lies, not a demonstrated reduction in its distance from zero. These descriptive relationships neither identify a bid-to-award-to-price mechanism nor validate an executable pricing signal.</w:t>
      </w:r>
    </w:p>
    <w:p>
      <w:pPr>
        <w:pStyle w:val="BodyText"/>
        <w:widowControl/>
      </w:pPr>
      <w:r>
        <w:t>The study is retrospective. Historical data and earlier findings were inspected before supplementary checks, and the price protocol was finalized after data inspection but before its first fit. We therefore retain the exploratory status of all uncertainty statements. Section 2 positions the questions in the auction and measurement literature. Section 3 defines the separate quantity and price estimands; Section 4 presents the findings and their limiting diagnostics. Sections 5 and 6 discuss the resulting information and scope. Online Resource 1 documents the source restrictions, complete supplementary results and study sequence.</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widowControl/>
      </w:pPr>
      <w:r>
        <w:t>The available observations distinguish auction-level totals, reported distributional summaries and bidder-level mechanisms. The first two are observed; the third is not recovered by aggregate regressions.</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Bosco (2023), first published online in 2022, studies EUA auction prices and returns with GARCH specifications. Participation, demand coverage and the maximum-minus-minimum submitted bid price enter its analysis. That price range is distinct from quantity dispersion and is therefore included in our fixed price baseline. Our extension concerns a reported auction-to-secondary-market comparison, not price volatility or a new test of whether auction characteristics matter in general. Niu and Liu (2024) instead forecast EUA futures volatility; no forecasting contest is conducted here.</w:t>
      </w:r>
    </w:p>
    <w:p>
      <w:pPr>
        <w:pStyle w:val="FirstParagraph"/>
        <w:widowControl/>
      </w:pPr>
      <w:r>
        <w:t>Otsubo (2026) studies intraday futures–ETF price discovery and a daily auction–futures–ETF comparison aligned to 16:00 UK time. We use the price deviations already reported by the German Emissions Trading Authority (DEHSt 2020–2025), rather than reconstructing synchronous native quotes or estimating cross-venue information shares. The source and timing distinctions prevent either analysis from being treated as a direct replication of the other.</w:t>
      </w:r>
    </w:p>
    <w:p>
      <w:pPr>
        <w:pStyle w:val="BodyText"/>
        <w:widowControl/>
      </w:pPr>
      <w:r>
        <w:t>Official reporting provides the measurement context. The Commission distinguishes individual-auction means from monthly aggregates and describes bid and award means using participating and successful bidders, respectively (European Commission 2024). ESMA (2025) separates participation from concentration indicators. The DEHSt quarterly reports provide the German price comparisons used in our extension. These dimensions are established reporting objects. The contribution is their conditional empirical relationship, not the introduction of the fields or a claim that official reporting has used them incorrectly.</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pageBreakBefore w:val="0"/>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1281</w:t>
            </w:r>
          </w:p>
        </w:tc>
      </w:tr>
    </w:tbl>
    <w:p>
      <w:pPr>
        <w:pStyle w:val="BodyText"/>
        <w:keepLines/>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widowControl/>
      </w:pPr>
      <w:r>
        <w:t>Generative AI tools, including ChatGPT, assisted research organization, code-related work, and manuscript drafting and revision. Their use included generative drafting, not only copy editing. The authors remain responsible for the analysis, citations and final manuscript. Each completed numerical stage and its checks are versioned separately. This manuscript integrates those stages without treating later specification decisions as prospective registration.</w:t>
      </w:r>
    </w:p>
    <w:bookmarkEnd w:id="31"/>
    <w:bookmarkEnd w:id="32"/>
    <w:bookmarkStart w:id="42" w:name="results"/>
    <w:p>
      <w:pPr>
        <w:pStyle w:val="Heading3"/>
        <w:widowControl/>
      </w:pPr>
      <w:r>
        <w:t>3.5 Composition sensitivity of the historical comparison</w:t>
      </w:r>
    </w:p>
    <w:p>
      <w:pPr>
        <w:pStyle w:val="BodyText"/>
        <w:widowControl/>
      </w:pPr>
      <w:r>
        <w:t>We use descriptive overlap weights to emphasize auction characteristics represented in both historical periods. Following Li et al. (2018), one unpenalized logistic model predicts late-period membership from an intercept, the four pooled-standardized log controls, their squared terms, reporting-series indicators and month-of-year indicators. Neither dispersion measure, price, year nor specific year–month enters this model. Early weights are the fitted late-period probabilities; late weights are one minus those probabilities. Coverage and successful participation remain joint auction outcomes. The weights standardize selected observed moments and are not a causal treatment design.</w:t>
      </w:r>
    </w:p>
    <w:p>
      <w:pPr>
        <w:pStyle w:val="BodyText"/>
        <w:widowControl/>
      </w:pPr>
      <w:r>
        <w:t>Within each period, both transformed indicators are projected on the original controls and year–month effects by weighted least squares. We compute their weighted residual covariance and divide by the product of the weighted residual standard deviations, using the same weights throughout. The supplemental contrast is the late-minus-early difference in that correlation. Every block draw refits the period-membership model and both outcome projections. The main calculation uses 999 three-month draws, with 199 draws each for one- and six-month sensitivity checks. Individual 97.5% percentile intervals address the two weighted contrasts only as a limited multiplicity sensitivity. Weight concentration, fitted-term balance, distribution distances and the paired change from equal weighting are reported together. No outcome-dependent trimming or alternative weight-model search is used.</w:t>
      </w:r>
    </w:p>
    <w:p>
      <w:pPr>
        <w:pStyle w:val="Heading3"/>
        <w:widowControl/>
      </w:pPr>
      <w:r>
        <w:t>3.6 New-time sample and finite short-axis diagnostics</w:t>
      </w:r>
    </w:p>
    <w:p>
      <w:pPr>
        <w:pStyle w:val="BodyText"/>
        <w:widowControl/>
      </w:pPr>
      <w: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widowControl/>
      </w:pPr>
      <w: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Heading3"/>
        <w:keepNext/>
      </w:pPr>
      <w:r>
        <w:t>3.7 Reported price deviations in the matched German sample</w:t>
      </w:r>
    </w:p>
    <w:p>
      <w:pPr>
        <w:pStyle w:val="FirstParagraph"/>
      </w:pPr>
      <w:r>
        <w:t>The price extension pairs the EEX quantity fields with comparisons printed in DEHSt quarterly reports for 2020–2025. Source reconciliation identifies 275 German successful auctions across all 24 quarters. The prefit source restrictions quarantine 35 observations for reference-footnote or date inconsistencies, leaving 240 auctions in 21 quarters. Of these, 236 use a last-best-bid reference and four a last-trade reference. The predefined no-row-flag subset contains 203 auctions in 18 quarters. These are subsets of the historical archive, not additional auctions or an independent market.</w:t>
      </w:r>
    </w:p>
    <w:p>
      <w:pPr>
        <w:pStyle w:val="FirstParagraph"/>
      </w:pPr>
      <w:r>
        <w:t>Let d denote the official signed numeric percentage deviation multiplied by 100, so that its unit is a basis point. A printed −0.07% becomes −7 basis points. The study does not infer an unreported denominator or recover a native reference price from rounded entries. Reported zeros remain zeros at publication precision, not missing values, no-trade indicators or proof of exact unrounded equality. The focal regressor x is the same log-one-plus bid-dispersion ratio used in specification A. We fit the descriptive projection</w:t>
      </w:r>
    </w:p>
    <w:p>
      <w:pPr>
        <w:pStyle w:val="FirstParagraph"/>
        <w:tabs>
          <w:tab w:pos="4464" w:val="center"/>
          <w:tab w:pos="9000" w:val="right"/>
        </w:tabs>
        <w:spacing w:before="120" w:after="160"/>
      </w:pPr>
      <w:r>
        <w:tab/>
      </w:r>
      <m:oMath>
        <m:sSub>
          <m:e>
            <m:r>
              <m:t>d</m:t>
            </m:r>
          </m:e>
          <m:sub>
            <m:r>
              <m:t>t</m:t>
            </m:r>
          </m:sub>
        </m:sSub>
        <m:r>
          <m:t> = a + κ </m:t>
        </m:r>
        <m:sSub>
          <m:e>
            <m:r>
              <m:t>x</m:t>
            </m:r>
          </m:e>
          <m:sub>
            <m:r>
              <m:t>t</m:t>
            </m:r>
          </m:sub>
        </m:sSub>
        <m:r>
          <m:t> + </m:t>
        </m:r>
        <m:sSup>
          <m:e>
            <m:r>
              <m:rPr>
                <m:sty m:val="bi"/>
              </m:rPr>
              <m:t>λ</m:t>
            </m:r>
          </m:e>
          <m:sup>
            <m:r>
              <m:t>′</m:t>
            </m:r>
          </m:sup>
        </m:sSup>
        <m:sSub>
          <m:e>
            <m:r>
              <m:rPr>
                <m:sty m:val="bi"/>
              </m:rPr>
              <m:t>c</m:t>
            </m:r>
          </m:e>
          <m:sub>
            <m:r>
              <m:t>t</m:t>
            </m:r>
          </m:sub>
        </m:sSub>
        <m:r>
          <m:t> + </m:t>
        </m:r>
        <m:sSub>
          <m:e>
            <m:r>
              <m:t>η</m:t>
            </m:r>
          </m:e>
          <m:sub>
            <m:r>
              <m:t>Y</m:t>
            </m:r>
          </m:sub>
        </m:sSub>
        <m:r>
          <m:t> + </m:t>
        </m:r>
        <m:sSub>
          <m:e>
            <m:r>
              <m:t>e</m:t>
            </m:r>
          </m:e>
          <m:sub>
            <m:r>
              <m:t>t</m:t>
            </m:r>
          </m:sub>
        </m:sSub>
      </m:oMath>
      <w:r>
        <w:tab/>
        <w:t>(5)</w:t>
      </w:r>
    </w:p>
    <w:p>
      <w:pPr>
        <w:pStyle w:val="FirstParagraph"/>
      </w:pPr>
      <w:r>
        <w:t>where Y denotes the calendar year of auction t and c contains log auction volume, log total and successful bidder counts, log reported coverage, the highest-minus-lowest submitted price in euros, log same-auction clearing price, and a last-trade indicator when it varies. The year effects differ from the year–month effects in the quantity analysis. The full primary design has rank 14 and 226 residual degrees of freedom. Its baseline omits only x on exactly the same rows. No reported award-dispersion term is used to infer a mediation channel. All controls describe completed auctions; in particular, clearing price and coverage are simultaneous outcomes.</w:t>
      </w:r>
    </w:p>
    <w:p>
      <w:pPr>
        <w:pStyle w:val="FirstParagraph"/>
      </w:pPr>
      <w:r>
        <w:t>Uncertainty is reported using quarter-clustered CR1 covariance and t(G−1) 95% intervals, with G equal to the number of observed quarters. The primary coefficient also receives one null-imposed wild-cluster t test with 999 Rademacher draws. A mean-centred delete-quarter jackknife (CV3J) and six fixed leave-one-year-out estimates assess influence. These procedures are related checks on the same data, not independent confirmations; cross-quarter independence and small-cluster calibration remain assumptions (MacKinnon et al. 2023). The CR1 interval is not a bootstrap interval.</w:t>
      </w:r>
    </w:p>
    <w:p>
      <w:pPr>
        <w:pStyle w:val="FirstParagraph"/>
      </w:pPr>
      <w:r>
        <w:t>The locked secondary specifications use the absolute deviation on the same 240 rows, the signed deviation on the 203 no-row-flag observations, and the signed deviation on the 236 best-bid observations. The main scale illustration is κ times the observed interquartile range of x, holding the fitted conditioning set fixed. A contrast using the interquartile range of residualized x is retained separately. Neither is a feasible intervention or monetary return. The final code and specifications were fixed before the first price fit but after inspection of the source data. Twenty-two separately acquired German price observations from 2026 were not fitted or merged into this analysis.</w:t>
      </w:r>
    </w:p>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The two transformations give nearly identical standardized associations (Table 3).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The positive direction is not confined to the full conditioning set (Fig. 2). With series and year–month effects only, residual correlations are 0.6243 and 0.6197. Adding volume and total bidders gives 0.6289 and 0.6239. The relationship is therefore present without the cover ratio and successful-bidder count as controls. These are different descriptive projections, not an exogeneity or collider-bias test.</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The completed deletion checks retain a positive association (Online Resource 1, Table S3). They remove observations, months, years or reporting series without replacing the principal sample. Omitting the 13 largest-Cook-distance observations gives correlations of 0.6911 and 0.6930; this is an influence diagnostic, not a revised data-cleaning rule. No observation is classified as erroneous solely because it is influential.</w:t>
      </w:r>
    </w:p>
    <w:p>
      <w:pPr>
        <w:pStyle w:val="BodyText"/>
        <w:widowControl/>
      </w:pPr>
      <w: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Conditional association is higher in the later historical sample (Table 4).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[0.0808, 0.3748]</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bookmarkEnd w:id="41"/>
    <w:bookmarkEnd w:id="42"/>
    <w:bookmarkStart w:id="45" w:name="discussion"/>
    <w:p>
      <w:pPr>
        <w:pStyle w:val="Heading3"/>
        <w:widowControl/>
      </w:pPr>
      <w:r>
        <w:t>4.4 Composition weighting: persistence with incomplete distributional balance</w:t>
      </w:r>
    </w:p>
    <w:p>
      <w:pPr>
        <w:pStyle w:val="BodyText"/>
        <w:widowControl/>
      </w:pPr>
      <w:r>
        <w:t>The overlap-weighted differences remain positive: 0.1971 under A and 0.1937 under C (Table 5).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BodyText"/>
        <w:keepNext/>
        <w:widowControl/>
        <w:spacing w:after="80"/>
      </w:pPr>
      <w:r>
        <w:rPr>
          <w:b/>
          <w:sz w:val="21"/>
        </w:rPr>
        <w:t>Table 5 Composition-weighted association and distributional diagnostics</w:t>
      </w:r>
    </w:p>
    <w:p>
      <w:pPr>
        <w:pStyle w:val="BodyText"/>
        <w:keepNext/>
        <w:widowControl/>
        <w:spacing w:after="80"/>
      </w:pPr>
      <w:r>
        <w:rPr>
          <w:b w:val="0"/>
          <w:sz w:val="21"/>
        </w:rPr>
        <w:t>Panel A: Weighted residual correlations and late-minus-early differences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020"/>
        <w:gridCol w:w="1361"/>
        <w:gridCol w:w="1361"/>
        <w:gridCol w:w="1474"/>
        <w:gridCol w:w="4082"/>
      </w:tblGrid>
      <w:tr>
        <w:trPr>
          <w:cantSplit/>
          <w:tblHeader/>
        </w:trPr>
        <w:tc>
          <w:tcPr>
            <w:tcW w:type="dxa" w:w="102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Early θ</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Late θ</w:t>
            </w:r>
          </w:p>
        </w:tc>
        <w:tc>
          <w:tcPr>
            <w:tcW w:type="dxa" w:w="147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Difference</w:t>
            </w:r>
          </w:p>
        </w:tc>
        <w:tc>
          <w:tcPr>
            <w:tcW w:type="dxa" w:w="4082"/>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0.5703</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0.7675</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0.5649</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0.7586</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bl>
    <w:p>
      <w:pPr>
        <w:pStyle w:val="BodyText"/>
        <w:keepNext/>
        <w:widowControl/>
        <w:spacing w:after="80"/>
      </w:pPr>
      <w:r>
        <w:rPr>
          <w:b w:val="0"/>
          <w:sz w:val="21"/>
        </w:rPr>
        <w:t>Panel B: Empirical distribution distances before and after weighting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855"/>
        <w:gridCol w:w="2721"/>
        <w:gridCol w:w="2721"/>
      </w:tblGrid>
      <w:tr>
        <w:trPr>
          <w:cantSplit/>
          <w:tblHeader/>
        </w:trPr>
        <w:tc>
          <w:tcPr>
            <w:tcW w:type="dxa" w:w="3855"/>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Log variable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Original KS distance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Weighted KS distance</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Auction volume</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0.2810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0.2908</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Total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0.1080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0.0364</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Successful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0.0454</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0.0201</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Cover ratio</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0.1142</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0.0579</w:t>
            </w:r>
          </w:p>
        </w:tc>
      </w:tr>
    </w:tbl>
    <w:p>
      <w:pPr>
        <w:pStyle w:val="BodyText"/>
        <w:keepLines/>
        <w:widowControl/>
        <w:spacing w:line="250" w:lineRule="auto" w:after="160"/>
      </w:pPr>
      <w:r>
        <w:rPr>
          <w:sz w:val="19"/>
        </w:rPr>
        <w:t>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p-value. Tables S7–S8 provide paired changes and block sensitivities.</w:t>
      </w:r>
    </w:p>
    <w:p>
      <w:pPr>
        <w:pStyle w:val="BodyText"/>
        <w:widowControl/>
      </w:pPr>
      <w: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Heading3"/>
        <w:widowControl/>
      </w:pPr>
      <w:r>
        <w:t>4.5 New-time evidence and sensitivity to the nine-month axis</w:t>
      </w:r>
    </w:p>
    <w:p>
      <w:pPr>
        <w:pStyle w:val="BodyText"/>
        <w:widowControl/>
      </w:pPr>
      <w: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widowControl/>
      </w:pPr>
      <w: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Heading3"/>
        <w:keepNext/>
      </w:pPr>
      <w:r>
        <w:t>4.6 Quantity dispersion and official-reported price deviations</w:t>
      </w:r>
    </w:p>
    <w:p>
      <w:pPr>
        <w:pStyle w:val="FirstParagraph"/>
      </w:pPr>
      <w:r>
        <w:t>The signed deviation in the 240-auction price sample has a mean of −2.80 and median of −7.00 basis points, with quartiles −29.00 and 17.25 and sample standard deviation 46.34. There are 142 negative observations (59.17%), 92 positive observations (38.33%) and six reported zeros (2.50%). The absolute deviation has mean 33.51 and median 25.00 basis points. Panel A of Table 6 provides the primary descriptive context; Online Resource 1, Table S11, also reports the two source subsets. These unconditional distributions are not the conditional contrast estimated below.</w:t>
      </w:r>
    </w:p>
    <w:p>
      <w:pPr>
        <w:pStyle w:val="FirstParagraph"/>
        <w:keepNext/>
        <w:spacing w:before="160" w:after="80"/>
      </w:pPr>
      <w:r>
        <w:rPr>
          <w:b/>
        </w:rPr>
        <w:t>Table 6 German reported-price context and conditional associations</w:t>
      </w:r>
    </w:p>
    <w:p>
      <w:pPr>
        <w:pStyle w:val="FirstParagraph"/>
      </w:pPr>
      <w:r>
        <w:t>Panel A: Primary-sample descriptive context (240 auctions, 21 quarters; basis points)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2088"/>
        <w:gridCol w:w="936"/>
        <w:gridCol w:w="936"/>
        <w:gridCol w:w="1944"/>
        <w:gridCol w:w="1800"/>
        <w:gridCol w:w="1296"/>
      </w:tblGrid>
      <w:tr>
        <w:trPr>
          <w:tblHeader w:val="true"/>
          <w:cantSplit/>
        </w:trPr>
        <w:tc>
          <w:tcPr>
            <w:tcW w:type="dxa" w:w="2088"/>
            <w:vAlign w:val="center"/>
            <w:tcBorders>
              <w:bottom w:val="single" w:sz="6"/>
            </w:tcBorders>
          </w:tcPr>
          <w:p>
            <w:pPr>
              <w:keepNext/>
              <w:spacing w:before="60" w:after="60" w:line="240" w:lineRule="auto"/>
              <w:jc w:val="left"/>
            </w:pPr>
            <w:r>
              <w:rPr>
                <w:rFonts w:ascii="Times New Roman" w:hAnsi="Times New Roman"/>
                <w:b/>
                <w:sz w:val="18"/>
              </w:rPr>
              <w:t>Outcome</w:t>
            </w:r>
          </w:p>
        </w:tc>
        <w:tc>
          <w:tcPr>
            <w:tcW w:type="dxa" w:w="936"/>
            <w:vAlign w:val="center"/>
            <w:tcBorders>
              <w:bottom w:val="single" w:sz="6"/>
            </w:tcBorders>
          </w:tcPr>
          <w:p>
            <w:pPr>
              <w:keepNext/>
              <w:spacing w:before="60" w:after="60" w:line="240" w:lineRule="auto"/>
              <w:jc w:val="right"/>
            </w:pPr>
            <w:r>
              <w:rPr>
                <w:rFonts w:ascii="Times New Roman" w:hAnsi="Times New Roman"/>
                <w:b/>
                <w:sz w:val="18"/>
              </w:rPr>
              <w:t>Mean</w:t>
            </w:r>
          </w:p>
        </w:tc>
        <w:tc>
          <w:tcPr>
            <w:tcW w:type="dxa" w:w="936"/>
            <w:vAlign w:val="center"/>
            <w:tcBorders>
              <w:bottom w:val="single" w:sz="6"/>
            </w:tcBorders>
          </w:tcPr>
          <w:p>
            <w:pPr>
              <w:keepNext/>
              <w:spacing w:before="60" w:after="60" w:line="240" w:lineRule="auto"/>
              <w:jc w:val="right"/>
            </w:pPr>
            <w:r>
              <w:rPr>
                <w:rFonts w:ascii="Times New Roman" w:hAnsi="Times New Roman"/>
                <w:b/>
                <w:sz w:val="18"/>
              </w:rPr>
              <w:t>Median</w:t>
            </w:r>
          </w:p>
        </w:tc>
        <w:tc>
          <w:tcPr>
            <w:tcW w:type="dxa" w:w="1944"/>
            <w:vAlign w:val="center"/>
            <w:tcBorders>
              <w:bottom w:val="single" w:sz="6"/>
            </w:tcBorders>
          </w:tcPr>
          <w:p>
            <w:pPr>
              <w:keepNext/>
              <w:spacing w:before="60" w:after="60" w:line="240" w:lineRule="auto"/>
              <w:jc w:val="right"/>
            </w:pPr>
            <w:r>
              <w:rPr>
                <w:rFonts w:ascii="Times New Roman" w:hAnsi="Times New Roman"/>
                <w:b/>
                <w:sz w:val="18"/>
              </w:rPr>
              <w:t>Q1–Q3</w:t>
            </w:r>
          </w:p>
        </w:tc>
        <w:tc>
          <w:tcPr>
            <w:tcW w:type="dxa" w:w="1800"/>
            <w:vAlign w:val="center"/>
            <w:tcBorders>
              <w:bottom w:val="single" w:sz="6"/>
            </w:tcBorders>
          </w:tcPr>
          <w:p>
            <w:pPr>
              <w:keepNext/>
              <w:spacing w:before="60" w:after="60" w:line="240" w:lineRule="auto"/>
              <w:jc w:val="right"/>
            </w:pPr>
            <w:r>
              <w:rPr>
                <w:rFonts w:ascii="Times New Roman" w:hAnsi="Times New Roman"/>
                <w:b/>
                <w:sz w:val="18"/>
              </w:rPr>
              <w:t>Range</w:t>
            </w:r>
          </w:p>
        </w:tc>
        <w:tc>
          <w:tcPr>
            <w:tcW w:type="dxa" w:w="1296"/>
            <w:vAlign w:val="center"/>
            <w:tcBorders>
              <w:bottom w:val="single" w:sz="6"/>
            </w:tcBorders>
          </w:tcPr>
          <w:p>
            <w:pPr>
              <w:keepNext/>
              <w:spacing w:before="60" w:after="60" w:line="240" w:lineRule="auto"/>
              <w:jc w:val="right"/>
            </w:pPr>
            <w:r>
              <w:rPr>
                <w:rFonts w:ascii="Times New Roman" w:hAnsi="Times New Roman"/>
                <w:b/>
                <w:sz w:val="18"/>
              </w:rPr>
              <w:t>SD</w:t>
            </w:r>
          </w:p>
        </w:tc>
      </w:tr>
      <w:tr>
        <w:trPr>
          <w:cantSplit/>
        </w:trPr>
        <w:tc>
          <w:tcPr>
            <w:tcW w:type="dxa" w:w="2088"/>
            <w:vAlign w:val="center"/>
          </w:tcPr>
          <w:p>
            <w:pPr>
              <w:spacing w:before="60" w:after="60" w:line="240" w:lineRule="auto"/>
              <w:jc w:val="left"/>
            </w:pPr>
            <w:r>
              <w:rPr>
                <w:rFonts w:ascii="Times New Roman" w:hAnsi="Times New Roman"/>
                <w:sz w:val="18"/>
              </w:rPr>
              <w:t>Signed deviation</w:t>
            </w:r>
          </w:p>
        </w:tc>
        <w:tc>
          <w:tcPr>
            <w:tcW w:type="dxa" w:w="936"/>
            <w:vAlign w:val="center"/>
          </w:tcPr>
          <w:p>
            <w:pPr>
              <w:spacing w:before="60" w:after="60" w:line="240" w:lineRule="auto"/>
              <w:jc w:val="right"/>
            </w:pPr>
            <w:r>
              <w:rPr>
                <w:rFonts w:ascii="Times New Roman" w:hAnsi="Times New Roman"/>
                <w:sz w:val="18"/>
              </w:rPr>
              <w:t>−2.80</w:t>
            </w:r>
          </w:p>
        </w:tc>
        <w:tc>
          <w:tcPr>
            <w:tcW w:type="dxa" w:w="936"/>
            <w:vAlign w:val="center"/>
          </w:tcPr>
          <w:p>
            <w:pPr>
              <w:spacing w:before="60" w:after="60" w:line="240" w:lineRule="auto"/>
              <w:jc w:val="right"/>
            </w:pPr>
            <w:r>
              <w:rPr>
                <w:rFonts w:ascii="Times New Roman" w:hAnsi="Times New Roman"/>
                <w:sz w:val="18"/>
              </w:rPr>
              <w:t>−7.00</w:t>
            </w:r>
          </w:p>
        </w:tc>
        <w:tc>
          <w:tcPr>
            <w:tcW w:type="dxa" w:w="1944"/>
            <w:vAlign w:val="center"/>
          </w:tcPr>
          <w:p>
            <w:pPr>
              <w:spacing w:before="60" w:after="60" w:line="240" w:lineRule="auto"/>
              <w:jc w:val="right"/>
            </w:pPr>
            <w:r>
              <w:rPr>
                <w:rFonts w:ascii="Times New Roman" w:hAnsi="Times New Roman"/>
                <w:sz w:val="18"/>
              </w:rPr>
              <w:t>[−29.00, 17.25]</w:t>
            </w:r>
          </w:p>
        </w:tc>
        <w:tc>
          <w:tcPr>
            <w:tcW w:type="dxa" w:w="1800"/>
            <w:vAlign w:val="center"/>
          </w:tcPr>
          <w:p>
            <w:pPr>
              <w:spacing w:before="60" w:after="60" w:line="240" w:lineRule="auto"/>
              <w:jc w:val="right"/>
            </w:pPr>
            <w:r>
              <w:rPr>
                <w:rFonts w:ascii="Times New Roman" w:hAnsi="Times New Roman"/>
                <w:sz w:val="18"/>
              </w:rPr>
              <w:t>[−174.00, 171.00]</w:t>
            </w:r>
          </w:p>
        </w:tc>
        <w:tc>
          <w:tcPr>
            <w:tcW w:type="dxa" w:w="1296"/>
            <w:vAlign w:val="center"/>
          </w:tcPr>
          <w:p>
            <w:pPr>
              <w:spacing w:before="60" w:after="60" w:line="240" w:lineRule="auto"/>
              <w:jc w:val="right"/>
            </w:pPr>
            <w:r>
              <w:rPr>
                <w:rFonts w:ascii="Times New Roman" w:hAnsi="Times New Roman"/>
                <w:sz w:val="18"/>
              </w:rPr>
              <w:t>46.34</w:t>
            </w:r>
          </w:p>
        </w:tc>
      </w:tr>
      <w:tr>
        <w:trPr>
          <w:cantSplit/>
        </w:trPr>
        <w:tc>
          <w:tcPr>
            <w:tcW w:type="dxa" w:w="2088"/>
            <w:vAlign w:val="center"/>
          </w:tcPr>
          <w:p>
            <w:pPr>
              <w:spacing w:before="60" w:after="60" w:line="240" w:lineRule="auto"/>
              <w:jc w:val="left"/>
            </w:pPr>
            <w:r>
              <w:rPr>
                <w:rFonts w:ascii="Times New Roman" w:hAnsi="Times New Roman"/>
                <w:sz w:val="18"/>
              </w:rPr>
              <w:t>Absolute deviation</w:t>
            </w:r>
          </w:p>
        </w:tc>
        <w:tc>
          <w:tcPr>
            <w:tcW w:type="dxa" w:w="936"/>
            <w:vAlign w:val="center"/>
          </w:tcPr>
          <w:p>
            <w:pPr>
              <w:spacing w:before="60" w:after="60" w:line="240" w:lineRule="auto"/>
              <w:jc w:val="right"/>
            </w:pPr>
            <w:r>
              <w:rPr>
                <w:rFonts w:ascii="Times New Roman" w:hAnsi="Times New Roman"/>
                <w:sz w:val="18"/>
              </w:rPr>
              <w:t>33.51</w:t>
            </w:r>
          </w:p>
        </w:tc>
        <w:tc>
          <w:tcPr>
            <w:tcW w:type="dxa" w:w="936"/>
            <w:vAlign w:val="center"/>
          </w:tcPr>
          <w:p>
            <w:pPr>
              <w:spacing w:before="60" w:after="60" w:line="240" w:lineRule="auto"/>
              <w:jc w:val="right"/>
            </w:pPr>
            <w:r>
              <w:rPr>
                <w:rFonts w:ascii="Times New Roman" w:hAnsi="Times New Roman"/>
                <w:sz w:val="18"/>
              </w:rPr>
              <w:t>25.00</w:t>
            </w:r>
          </w:p>
        </w:tc>
        <w:tc>
          <w:tcPr>
            <w:tcW w:type="dxa" w:w="1944"/>
            <w:vAlign w:val="center"/>
          </w:tcPr>
          <w:p>
            <w:pPr>
              <w:spacing w:before="60" w:after="60" w:line="240" w:lineRule="auto"/>
              <w:jc w:val="right"/>
            </w:pPr>
            <w:r>
              <w:rPr>
                <w:rFonts w:ascii="Times New Roman" w:hAnsi="Times New Roman"/>
                <w:sz w:val="18"/>
              </w:rPr>
              <w:t>[11.00, 46.00]</w:t>
            </w:r>
          </w:p>
        </w:tc>
        <w:tc>
          <w:tcPr>
            <w:tcW w:type="dxa" w:w="1800"/>
            <w:vAlign w:val="center"/>
          </w:tcPr>
          <w:p>
            <w:pPr>
              <w:spacing w:before="60" w:after="60" w:line="240" w:lineRule="auto"/>
              <w:jc w:val="right"/>
            </w:pPr>
            <w:r>
              <w:rPr>
                <w:rFonts w:ascii="Times New Roman" w:hAnsi="Times New Roman"/>
                <w:sz w:val="18"/>
              </w:rPr>
              <w:t>[0.00, 174.00]</w:t>
            </w:r>
          </w:p>
        </w:tc>
        <w:tc>
          <w:tcPr>
            <w:tcW w:type="dxa" w:w="1296"/>
            <w:vAlign w:val="center"/>
          </w:tcPr>
          <w:p>
            <w:pPr>
              <w:spacing w:before="60" w:after="60" w:line="240" w:lineRule="auto"/>
              <w:jc w:val="right"/>
            </w:pPr>
            <w:r>
              <w:rPr>
                <w:rFonts w:ascii="Times New Roman" w:hAnsi="Times New Roman"/>
                <w:sz w:val="18"/>
              </w:rPr>
              <w:t>32.06</w:t>
            </w:r>
          </w:p>
        </w:tc>
      </w:tr>
    </w:tbl>
    <w:p>
      <w:pPr>
        <w:pStyle w:val="FirstParagraph"/>
      </w:pPr>
      <w:r>
        <w:t>Panel B: Fixed price specifications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99"/>
        <w:gridCol w:w="965"/>
        <w:gridCol w:w="2117"/>
        <w:gridCol w:w="864"/>
        <w:gridCol w:w="2390"/>
        <w:gridCol w:w="965"/>
      </w:tblGrid>
      <w:tr>
        <w:trPr>
          <w:tblHeader w:val="true"/>
          <w:cantSplit/>
        </w:trPr>
        <w:tc>
          <w:tcPr>
            <w:tcW w:type="dxa" w:w="1699"/>
            <w:vAlign w:val="center"/>
            <w:tcBorders>
              <w:bottom w:val="single" w:sz="6"/>
            </w:tcBorders>
          </w:tcPr>
          <w:p>
            <w:pPr>
              <w:keepNext/>
              <w:spacing w:before="60" w:after="60" w:line="240" w:lineRule="auto"/>
              <w:jc w:val="left"/>
            </w:pPr>
            <w:r>
              <w:rPr>
                <w:rFonts w:ascii="Times New Roman" w:hAnsi="Times New Roman"/>
                <w:b/>
                <w:sz w:val="18"/>
              </w:rPr>
              <w:t>Specification</w:t>
            </w:r>
          </w:p>
        </w:tc>
        <w:tc>
          <w:tcPr>
            <w:tcW w:type="dxa" w:w="965"/>
            <w:vAlign w:val="center"/>
            <w:tcBorders>
              <w:bottom w:val="single" w:sz="6"/>
            </w:tcBorders>
          </w:tcPr>
          <w:p>
            <w:pPr>
              <w:keepNext/>
              <w:spacing w:before="60" w:after="60" w:line="240" w:lineRule="auto"/>
              <w:jc w:val="right"/>
            </w:pPr>
            <w:r>
              <w:rPr>
                <w:rFonts w:ascii="Times New Roman" w:hAnsi="Times New Roman"/>
                <w:b/>
                <w:sz w:val="18"/>
              </w:rPr>
              <w:t>n / G</w:t>
            </w:r>
          </w:p>
        </w:tc>
        <w:tc>
          <w:tcPr>
            <w:tcW w:type="dxa" w:w="2117"/>
            <w:vAlign w:val="center"/>
            <w:tcBorders>
              <w:bottom w:val="single" w:sz="6"/>
            </w:tcBorders>
          </w:tcPr>
          <w:p>
            <w:pPr>
              <w:keepNext/>
              <w:spacing w:before="60" w:after="60" w:line="240" w:lineRule="auto"/>
              <w:jc w:val="right"/>
            </w:pPr>
            <w:r>
              <w:rPr>
                <w:rFonts w:ascii="Times New Roman" w:hAnsi="Times New Roman"/>
                <w:b/>
                <w:sz w:val="18"/>
              </w:rPr>
              <w:t>κ [95% CI]</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IQR(x)</w:t>
            </w:r>
          </w:p>
        </w:tc>
        <w:tc>
          <w:tcPr>
            <w:tcW w:type="dxa" w:w="2390"/>
            <w:vAlign w:val="center"/>
            <w:tcBorders>
              <w:bottom w:val="single" w:sz="6"/>
            </w:tcBorders>
          </w:tcPr>
          <w:p>
            <w:pPr>
              <w:keepNext/>
              <w:spacing w:before="60" w:after="60" w:line="240" w:lineRule="auto"/>
              <w:jc w:val="right"/>
            </w:pPr>
            <w:r>
              <w:rPr>
                <w:rFonts w:ascii="Times New Roman" w:hAnsi="Times New Roman"/>
                <w:b/>
                <w:sz w:val="18"/>
              </w:rPr>
              <w:t>IQR contrast</w:t>
              <w:br/>
              <w:t>[95% CI], bp</w:t>
            </w:r>
          </w:p>
        </w:tc>
        <w:tc>
          <w:tcPr>
            <w:tcW w:type="dxa" w:w="965"/>
            <w:vAlign w:val="center"/>
            <w:tcBorders>
              <w:bottom w:val="single" w:sz="6"/>
            </w:tcBorders>
          </w:tcPr>
          <w:p>
            <w:pPr>
              <w:keepNext/>
              <w:spacing w:before="60" w:after="60" w:line="240" w:lineRule="auto"/>
              <w:jc w:val="right"/>
            </w:pPr>
            <w:r>
              <w:rPr>
                <w:rFonts w:ascii="Times New Roman" w:hAnsi="Times New Roman"/>
                <w:b/>
                <w:sz w:val="18"/>
              </w:rPr>
              <w:t>Partial R²</w:t>
            </w:r>
          </w:p>
        </w:tc>
      </w:tr>
      <w:tr>
        <w:trPr>
          <w:cantSplit/>
        </w:trPr>
        <w:tc>
          <w:tcPr>
            <w:tcW w:type="dxa" w:w="1699"/>
            <w:vAlign w:val="center"/>
          </w:tcPr>
          <w:p>
            <w:pPr>
              <w:spacing w:before="60" w:after="60" w:line="240" w:lineRule="auto"/>
              <w:jc w:val="left"/>
            </w:pPr>
            <w:r>
              <w:rPr>
                <w:rFonts w:ascii="Times New Roman" w:hAnsi="Times New Roman"/>
                <w:sz w:val="18"/>
              </w:rPr>
              <w:t>Primary: signed</w:t>
            </w:r>
          </w:p>
        </w:tc>
        <w:tc>
          <w:tcPr>
            <w:tcW w:type="dxa" w:w="965"/>
            <w:vAlign w:val="center"/>
          </w:tcPr>
          <w:p>
            <w:pPr>
              <w:spacing w:before="60" w:after="60" w:line="240" w:lineRule="auto"/>
              <w:jc w:val="right"/>
            </w:pPr>
            <w:r>
              <w:rPr>
                <w:rFonts w:ascii="Times New Roman" w:hAnsi="Times New Roman"/>
                <w:sz w:val="18"/>
              </w:rPr>
              <w:t>240/21</w:t>
            </w:r>
          </w:p>
        </w:tc>
        <w:tc>
          <w:tcPr>
            <w:tcW w:type="dxa" w:w="2117"/>
            <w:vAlign w:val="center"/>
          </w:tcPr>
          <w:p>
            <w:pPr>
              <w:spacing w:before="60" w:after="60" w:line="240" w:lineRule="auto"/>
              <w:jc w:val="right"/>
            </w:pPr>
            <w:r>
              <w:rPr>
                <w:rFonts w:ascii="Times New Roman" w:hAnsi="Times New Roman"/>
                <w:sz w:val="18"/>
              </w:rPr>
              <w:t>−78.72</w:t>
              <w:br/>
              <w:t>[−124.80, −32.64]</w:t>
            </w:r>
          </w:p>
        </w:tc>
        <w:tc>
          <w:tcPr>
            <w:tcW w:type="dxa" w:w="864"/>
            <w:vAlign w:val="center"/>
          </w:tcPr>
          <w:p>
            <w:pPr>
              <w:spacing w:before="60" w:after="60" w:line="240" w:lineRule="auto"/>
              <w:jc w:val="right"/>
            </w:pPr>
            <w:r>
              <w:rPr>
                <w:rFonts w:ascii="Times New Roman" w:hAnsi="Times New Roman"/>
                <w:sz w:val="18"/>
              </w:rPr>
              <w:t>0.1843</w:t>
            </w:r>
          </w:p>
        </w:tc>
        <w:tc>
          <w:tcPr>
            <w:tcW w:type="dxa" w:w="2390"/>
            <w:vAlign w:val="center"/>
          </w:tcPr>
          <w:p>
            <w:pPr>
              <w:spacing w:before="60" w:after="60" w:line="240" w:lineRule="auto"/>
              <w:jc w:val="right"/>
            </w:pPr>
            <w:r>
              <w:rPr>
                <w:rFonts w:ascii="Times New Roman" w:hAnsi="Times New Roman"/>
                <w:sz w:val="18"/>
              </w:rPr>
              <w:t>−14.51</w:t>
              <w:br/>
              <w:t>[−23.00, −6.01]</w:t>
            </w:r>
          </w:p>
        </w:tc>
        <w:tc>
          <w:tcPr>
            <w:tcW w:type="dxa" w:w="965"/>
            <w:vAlign w:val="center"/>
          </w:tcPr>
          <w:p>
            <w:pPr>
              <w:spacing w:before="60" w:after="60" w:line="240" w:lineRule="auto"/>
              <w:jc w:val="right"/>
            </w:pPr>
            <w:r>
              <w:rPr>
                <w:rFonts w:ascii="Times New Roman" w:hAnsi="Times New Roman"/>
                <w:sz w:val="18"/>
              </w:rPr>
              <w:t>0.0681</w:t>
            </w:r>
          </w:p>
        </w:tc>
      </w:tr>
      <w:tr>
        <w:trPr>
          <w:cantSplit/>
        </w:trPr>
        <w:tc>
          <w:tcPr>
            <w:tcW w:type="dxa" w:w="1699"/>
            <w:vAlign w:val="center"/>
          </w:tcPr>
          <w:p>
            <w:pPr>
              <w:spacing w:before="60" w:after="60" w:line="240" w:lineRule="auto"/>
              <w:jc w:val="left"/>
            </w:pPr>
            <w:r>
              <w:rPr>
                <w:rFonts w:ascii="Times New Roman" w:hAnsi="Times New Roman"/>
                <w:sz w:val="18"/>
              </w:rPr>
              <w:t>S1: absolute</w:t>
            </w:r>
          </w:p>
        </w:tc>
        <w:tc>
          <w:tcPr>
            <w:tcW w:type="dxa" w:w="965"/>
            <w:vAlign w:val="center"/>
          </w:tcPr>
          <w:p>
            <w:pPr>
              <w:spacing w:before="60" w:after="60" w:line="240" w:lineRule="auto"/>
              <w:jc w:val="right"/>
            </w:pPr>
            <w:r>
              <w:rPr>
                <w:rFonts w:ascii="Times New Roman" w:hAnsi="Times New Roman"/>
                <w:sz w:val="18"/>
              </w:rPr>
              <w:t>240/21</w:t>
            </w:r>
          </w:p>
        </w:tc>
        <w:tc>
          <w:tcPr>
            <w:tcW w:type="dxa" w:w="2117"/>
            <w:vAlign w:val="center"/>
          </w:tcPr>
          <w:p>
            <w:pPr>
              <w:spacing w:before="60" w:after="60" w:line="240" w:lineRule="auto"/>
              <w:jc w:val="right"/>
            </w:pPr>
            <w:r>
              <w:rPr>
                <w:rFonts w:ascii="Times New Roman" w:hAnsi="Times New Roman"/>
                <w:sz w:val="18"/>
              </w:rPr>
              <w:t>41.35</w:t>
              <w:br/>
              <w:t>[−13.58, 96.29]</w:t>
            </w:r>
          </w:p>
        </w:tc>
        <w:tc>
          <w:tcPr>
            <w:tcW w:type="dxa" w:w="864"/>
            <w:vAlign w:val="center"/>
          </w:tcPr>
          <w:p>
            <w:pPr>
              <w:spacing w:before="60" w:after="60" w:line="240" w:lineRule="auto"/>
              <w:jc w:val="right"/>
            </w:pPr>
            <w:r>
              <w:rPr>
                <w:rFonts w:ascii="Times New Roman" w:hAnsi="Times New Roman"/>
                <w:sz w:val="18"/>
              </w:rPr>
              <w:t>0.1843</w:t>
            </w:r>
          </w:p>
        </w:tc>
        <w:tc>
          <w:tcPr>
            <w:tcW w:type="dxa" w:w="2390"/>
            <w:vAlign w:val="center"/>
          </w:tcPr>
          <w:p>
            <w:pPr>
              <w:spacing w:before="60" w:after="60" w:line="240" w:lineRule="auto"/>
              <w:jc w:val="right"/>
            </w:pPr>
            <w:r>
              <w:rPr>
                <w:rFonts w:ascii="Times New Roman" w:hAnsi="Times New Roman"/>
                <w:sz w:val="18"/>
              </w:rPr>
              <w:t>7.62</w:t>
              <w:br/>
              <w:t>[−2.50, 17.74]</w:t>
            </w:r>
          </w:p>
        </w:tc>
        <w:tc>
          <w:tcPr>
            <w:tcW w:type="dxa" w:w="965"/>
            <w:vAlign w:val="center"/>
          </w:tcPr>
          <w:p>
            <w:pPr>
              <w:spacing w:before="60" w:after="60" w:line="240" w:lineRule="auto"/>
              <w:jc w:val="right"/>
            </w:pPr>
            <w:r>
              <w:rPr>
                <w:rFonts w:ascii="Times New Roman" w:hAnsi="Times New Roman"/>
                <w:sz w:val="18"/>
              </w:rPr>
              <w:t>0.0189</w:t>
            </w:r>
          </w:p>
        </w:tc>
      </w:tr>
      <w:tr>
        <w:trPr>
          <w:cantSplit/>
        </w:trPr>
        <w:tc>
          <w:tcPr>
            <w:tcW w:type="dxa" w:w="1699"/>
            <w:vAlign w:val="center"/>
          </w:tcPr>
          <w:p>
            <w:pPr>
              <w:spacing w:before="60" w:after="60" w:line="240" w:lineRule="auto"/>
              <w:jc w:val="left"/>
            </w:pPr>
            <w:r>
              <w:rPr>
                <w:rFonts w:ascii="Times New Roman" w:hAnsi="Times New Roman"/>
                <w:sz w:val="18"/>
              </w:rPr>
              <w:t>S2: no row flags</w:t>
            </w:r>
          </w:p>
        </w:tc>
        <w:tc>
          <w:tcPr>
            <w:tcW w:type="dxa" w:w="965"/>
            <w:vAlign w:val="center"/>
          </w:tcPr>
          <w:p>
            <w:pPr>
              <w:spacing w:before="60" w:after="60" w:line="240" w:lineRule="auto"/>
              <w:jc w:val="right"/>
            </w:pPr>
            <w:r>
              <w:rPr>
                <w:rFonts w:ascii="Times New Roman" w:hAnsi="Times New Roman"/>
                <w:sz w:val="18"/>
              </w:rPr>
              <w:t>203/18</w:t>
            </w:r>
          </w:p>
        </w:tc>
        <w:tc>
          <w:tcPr>
            <w:tcW w:type="dxa" w:w="2117"/>
            <w:vAlign w:val="center"/>
          </w:tcPr>
          <w:p>
            <w:pPr>
              <w:spacing w:before="60" w:after="60" w:line="240" w:lineRule="auto"/>
              <w:jc w:val="right"/>
            </w:pPr>
            <w:r>
              <w:rPr>
                <w:rFonts w:ascii="Times New Roman" w:hAnsi="Times New Roman"/>
                <w:sz w:val="18"/>
              </w:rPr>
              <w:t>−81.46</w:t>
              <w:br/>
              <w:t>[−138.39, −24.53]</w:t>
            </w:r>
          </w:p>
        </w:tc>
        <w:tc>
          <w:tcPr>
            <w:tcW w:type="dxa" w:w="864"/>
            <w:vAlign w:val="center"/>
          </w:tcPr>
          <w:p>
            <w:pPr>
              <w:spacing w:before="60" w:after="60" w:line="240" w:lineRule="auto"/>
              <w:jc w:val="right"/>
            </w:pPr>
            <w:r>
              <w:rPr>
                <w:rFonts w:ascii="Times New Roman" w:hAnsi="Times New Roman"/>
                <w:sz w:val="18"/>
              </w:rPr>
              <w:t>0.1856</w:t>
            </w:r>
          </w:p>
        </w:tc>
        <w:tc>
          <w:tcPr>
            <w:tcW w:type="dxa" w:w="2390"/>
            <w:vAlign w:val="center"/>
          </w:tcPr>
          <w:p>
            <w:pPr>
              <w:spacing w:before="60" w:after="60" w:line="240" w:lineRule="auto"/>
              <w:jc w:val="right"/>
            </w:pPr>
            <w:r>
              <w:rPr>
                <w:rFonts w:ascii="Times New Roman" w:hAnsi="Times New Roman"/>
                <w:sz w:val="18"/>
              </w:rPr>
              <w:t>−15.12</w:t>
              <w:br/>
              <w:t>[−25.68, −4.55]</w:t>
            </w:r>
          </w:p>
        </w:tc>
        <w:tc>
          <w:tcPr>
            <w:tcW w:type="dxa" w:w="965"/>
            <w:vAlign w:val="center"/>
          </w:tcPr>
          <w:p>
            <w:pPr>
              <w:spacing w:before="60" w:after="60" w:line="240" w:lineRule="auto"/>
              <w:jc w:val="right"/>
            </w:pPr>
            <w:r>
              <w:rPr>
                <w:rFonts w:ascii="Times New Roman" w:hAnsi="Times New Roman"/>
                <w:sz w:val="18"/>
              </w:rPr>
              <w:t>0.0744</w:t>
            </w:r>
          </w:p>
        </w:tc>
      </w:tr>
      <w:tr>
        <w:trPr>
          <w:cantSplit/>
        </w:trPr>
        <w:tc>
          <w:tcPr>
            <w:tcW w:type="dxa" w:w="1699"/>
            <w:vAlign w:val="center"/>
          </w:tcPr>
          <w:p>
            <w:pPr>
              <w:spacing w:before="60" w:after="60" w:line="240" w:lineRule="auto"/>
              <w:jc w:val="left"/>
            </w:pPr>
            <w:r>
              <w:rPr>
                <w:rFonts w:ascii="Times New Roman" w:hAnsi="Times New Roman"/>
                <w:sz w:val="18"/>
              </w:rPr>
              <w:t>S3: best bid only</w:t>
            </w:r>
          </w:p>
        </w:tc>
        <w:tc>
          <w:tcPr>
            <w:tcW w:type="dxa" w:w="965"/>
            <w:vAlign w:val="center"/>
          </w:tcPr>
          <w:p>
            <w:pPr>
              <w:spacing w:before="60" w:after="60" w:line="240" w:lineRule="auto"/>
              <w:jc w:val="right"/>
            </w:pPr>
            <w:r>
              <w:rPr>
                <w:rFonts w:ascii="Times New Roman" w:hAnsi="Times New Roman"/>
                <w:sz w:val="18"/>
              </w:rPr>
              <w:t>236/21</w:t>
            </w:r>
          </w:p>
        </w:tc>
        <w:tc>
          <w:tcPr>
            <w:tcW w:type="dxa" w:w="2117"/>
            <w:vAlign w:val="center"/>
          </w:tcPr>
          <w:p>
            <w:pPr>
              <w:spacing w:before="60" w:after="60" w:line="240" w:lineRule="auto"/>
              <w:jc w:val="right"/>
            </w:pPr>
            <w:r>
              <w:rPr>
                <w:rFonts w:ascii="Times New Roman" w:hAnsi="Times New Roman"/>
                <w:sz w:val="18"/>
              </w:rPr>
              <w:t>−83.62</w:t>
              <w:br/>
              <w:t>[−129.71, −37.54]</w:t>
            </w:r>
          </w:p>
        </w:tc>
        <w:tc>
          <w:tcPr>
            <w:tcW w:type="dxa" w:w="864"/>
            <w:vAlign w:val="center"/>
          </w:tcPr>
          <w:p>
            <w:pPr>
              <w:spacing w:before="60" w:after="60" w:line="240" w:lineRule="auto"/>
              <w:jc w:val="right"/>
            </w:pPr>
            <w:r>
              <w:rPr>
                <w:rFonts w:ascii="Times New Roman" w:hAnsi="Times New Roman"/>
                <w:sz w:val="18"/>
              </w:rPr>
              <w:t>0.1828</w:t>
            </w:r>
          </w:p>
        </w:tc>
        <w:tc>
          <w:tcPr>
            <w:tcW w:type="dxa" w:w="2390"/>
            <w:vAlign w:val="center"/>
          </w:tcPr>
          <w:p>
            <w:pPr>
              <w:spacing w:before="60" w:after="60" w:line="240" w:lineRule="auto"/>
              <w:jc w:val="right"/>
            </w:pPr>
            <w:r>
              <w:rPr>
                <w:rFonts w:ascii="Times New Roman" w:hAnsi="Times New Roman"/>
                <w:sz w:val="18"/>
              </w:rPr>
              <w:t>−15.29</w:t>
              <w:br/>
              <w:t>[−23.71, −6.86]</w:t>
            </w:r>
          </w:p>
        </w:tc>
        <w:tc>
          <w:tcPr>
            <w:tcW w:type="dxa" w:w="965"/>
            <w:vAlign w:val="center"/>
          </w:tcPr>
          <w:p>
            <w:pPr>
              <w:spacing w:before="60" w:after="60" w:line="240" w:lineRule="auto"/>
              <w:jc w:val="right"/>
            </w:pPr>
            <w:r>
              <w:rPr>
                <w:rFonts w:ascii="Times New Roman" w:hAnsi="Times New Roman"/>
                <w:sz w:val="18"/>
              </w:rPr>
              <w:t>0.0758</w:t>
            </w:r>
          </w:p>
        </w:tc>
      </w:tr>
    </w:tbl>
    <w:p>
      <w:pPr>
        <w:pStyle w:val="FirstParagraph"/>
        <w:spacing w:after="160"/>
      </w:pPr>
      <w:r>
        <w:rPr>
          <w:sz w:val="18"/>
        </w:rPr>
        <w:t>Note: Panel A gives unconditional summaries of the reported percentage scale, with sample SD using n−1 and linear-interpolation quartiles. The signed observations comprise 142 negative, 92 positive and six printed-zero values. Panel B retains one primary and three secondary models; each baseline and extension uses identical observations. κ is in basis points per unit of log(1 + bid ratio). Intervals use quarter-cluster CR1 covariance and t(G−1), not bootstrap quantiles. Each IQR contrast uses its own observed x range; partial R² is in-sample. The absolute outcome concerns magnitude, not the signed outcome tested in the primary model. Model and inference definitions are in Section 3.7.</w:t>
      </w:r>
    </w:p>
    <w:p>
      <w:pPr>
        <w:pStyle w:val="FirstParagraph"/>
      </w:pPr>
      <w:r>
        <w:t>Adding bid dispersion to the fixed baseline gives κ = −78.72 basis points per unit of x (Table 6, Panel B). The observed interquartile range of x is 0.1843, yielding a fitted signed-deviation difference of −14.51 basis points and a CR1-t interval of [−23.00, −6.01]. These values concern the signed report scale: they do not establish that prices are closer to an efficient benchmark. The incremental partial R-squared is 0.0681, an in-sample residual-variation statistic rather than predictive improvement.</w:t>
      </w:r>
    </w:p>
    <w:p>
      <w:pPr>
        <w:pStyle w:val="FirstParagraph"/>
      </w:pPr>
      <w:r>
        <w:t>The restricted wild-cluster test gives p = 0.005, and the mean-centred quarter-jackknife coefficient interval is [−136.54, −20.90]. Both are reported alongside, not as the source of, the CR1 interval. The negative signed association also appears in the 203-observation no-row-flag subset and the 236-observation best-bid subset. Their fitted interquartile contrasts are −15.12 and −15.29 basis points, with their own sample-specific x ranges. Subset agreement does not eliminate remaining measurement differences or make the observations independent.</w:t>
      </w:r>
    </w:p>
    <w:p>
      <w:pPr>
        <w:pStyle w:val="FirstParagraph"/>
      </w:pPr>
      <w:r>
        <w:t>The absolute-deviation specification gives an interquartile contrast of +7.62 basis points with interval [−2.50, 17.74]. Thus the analysis does not establish a reduction in absolute deviation, nor does the interval prove a zero relationship. All six leave-year-out point estimates of the signed coefficient are negative, ranging from −88.23 to −45.12. Omitting 2022 changes the coefficient from −78.72 to −45.12. This substantial attenuation makes a claim of stable cross-year magnitude inappropriate; no deletion-specific significance claim is made. Complete deletion results and the distinct observed-x and residualized-x scales are retained in Online Resource 1, Tables S12–S13.</w:t>
      </w:r>
    </w:p>
    <w:p>
      <w:pPr>
        <w:pStyle w:val="Heading2"/>
        <w:widowControl/>
      </w:pPr>
      <w:r>
        <w:t xml:space="preserve">5 Discussion</w:t>
      </w:r>
    </w:p>
    <w:bookmarkStart w:id="43" w:name="X71e05c4a61f3045e3e81c72f6ac4923a0e35f72"/>
    <w:p>
      <w:pPr>
        <w:pStyle w:val="Heading3"/>
        <w:widowControl/>
      </w:pPr>
      <w:r>
        <w:t>5.1 Quantity information beyond marginal summaries</w:t>
      </w:r>
    </w:p>
    <w:p>
      <w:pPr>
        <w:pStyle w:val="FirstParagraph"/>
        <w:widowControl/>
      </w:pPr>
      <w:r>
        <w:t>Two economic descriptions of this reporting archive differ. The later historical auctions have lower marginal dispersion ratios but a stronger conditional relationship between the bid-side and award-side measures. Reading only levels would miss the change in co-variation; reading only the pooled regression would hide its historical heterogeneity. Reporting both describes the observed quantities more fully without ranking either period by allocation quality.</w:t>
      </w:r>
    </w:p>
    <w:p>
      <w:pPr>
        <w:pStyle w:val="BodyText"/>
        <w:widowControl/>
      </w:pPr>
      <w:r>
        <w:t>The period comparison addresses observed composition only to a specified extent. Positive weighted contrasts remain after selected log-scale means and second moments are balanced, while the auction-volume distribution retains a shape difference. The 2026 exercise addresses a different question: whether the positive direction appears in an additional time segment. It does, but the short segment cannot establish a stable long-run mapping. These exercises narrow the scope of the historical relationship rather than identify why it changed.</w:t>
      </w:r>
    </w:p>
    <w:p>
      <w:pPr>
        <w:pStyle w:val="BodyText"/>
        <w:widowControl/>
      </w:pPr>
      <w:r>
        <w:t>The matched German analysis extends this characterization to a different outcome. Bid dispersion is associated with the official signed price comparison beyond the specified baseline, which includes both demand coverage and submitted-price range. This provides price-related conditional information not established by the bid–award correlation alone. It does not show that award dispersion mediates the price relationship: the extension tests neither a mediation model nor a causal transmission channel.</w:t>
      </w:r>
    </w:p>
    <w:bookmarkEnd w:id="43"/>
    <w:bookmarkStart w:id="44" w:name="what-remains-unidentified"/>
    <w:p>
      <w:pPr>
        <w:pStyle w:val="Heading3"/>
        <w:keepNext/>
      </w:pPr>
      <w:r>
        <w:t>5.2 Signed price association is not price alignment</w:t>
      </w:r>
    </w:p>
    <w:p>
      <w:pPr>
        <w:pStyle w:val="FirstParagraph"/>
      </w:pPr>
      <w:r>
        <w:t>The price extension changes what can be said about the quantity indicator. It is not associated only with another quantity summary: within the selected German reports, it also carries incremental conditional information about the signed price comparison beyond demand coverage, participation and submitted-price range. The finding remains specific to that baseline, sample and report convention. It does not mean that quantity dispersion is an exogenous driver of the clearing price.</w:t>
      </w:r>
    </w:p>
    <w:p>
      <w:pPr>
        <w:pStyle w:val="FirstParagraph"/>
      </w:pPr>
      <w:r>
        <w:t>The signed and absolute results answer different economic questions. A lower signed deviation need not reduce distance from the reference; whether it would do so depends on the starting position and the unobserved joint distribution. The sample contains both negative and positive deviations, and the absolute-outcome interval does not establish closer price alignment. Consequently, neither the −14.51-basis-point contrast nor its ratio to a descriptive mean should be interpreted as a procurement saving or an efficiency gain. The 2022 deletion similarly delimits the historical magnitude without identifying that year's contribution or an underlying policy mechanism.</w:t>
      </w:r>
    </w:p>
    <w:p>
      <w:pPr>
        <w:pStyle w:val="Heading3"/>
        <w:widowControl/>
      </w:pPr>
      <w:r>
        <w:t>5.3 Identification, inference and data limits</w:t>
      </w:r>
    </w:p>
    <w:p>
      <w:pPr>
        <w:pStyle w:val="FirstParagraph"/>
        <w:widowControl/>
      </w:pPr>
      <w: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widowControl/>
      </w:pPr>
      <w:r>
        <w:t>Selection and simultaneity limit both analyses. We condition on successful auctions and, for prices, on source-based eligibility. Participation, coverage, awards and clearing prices can share determinants. The price-level control is explicitly the same-auction clearing price, a component of the underlying comparison rather than an external pre-auction covariate. Its inclusion defines a conditional projection, not a total effect. Neither reduced-control quantity models nor source-subset price models eliminate endogenous selection, common shocks or omitted demand conditions.</w:t>
      </w:r>
    </w:p>
    <w:p>
      <w:pPr>
        <w:pStyle w:val="BodyText"/>
        <w:widowControl/>
      </w:pPr>
      <w:r>
        <w:t>Inference remains conditional on the chosen dependence approximations and the research sequence. The quantity period contrasts and later composition contrasts are separate families; no correction covers the complete exploration history. In the price analysis, CR1 and jackknife intervals and the restricted wild-cluster test use the same observations, while the small number of quarters and possible cross-quarter dependence limit their calibration. Agreement across these procedures is not independent replication. Likewise, exact enumeration of the 2026 quantity resampling distribution removes Monte Carlo variation, not uncertainty about repeated-sample coverage.</w:t>
      </w:r>
    </w:p>
    <w:p>
      <w:pPr>
        <w:pStyle w:val="BodyText"/>
        <w:widowControl/>
      </w:pPr>
      <w:r>
        <w:t>The price outcome is measured at official publication precision. It uses 236 last-best-bid references and four last-trade references, neither of which is an independently reconstructed midpoint. A targeted check of the methods text in the 24 held reports did not establish an explicit subtraction-and-denominator equation. We therefore retain the reported sign and percentage scale and describe the association as a lower official-reported signed deviation, not a widening auction discount. Native quote age, an independently authenticated UTC event clock and cross-report measurement invariance remain unverified. These limitations narrow the interpretation of the completed price analysis; they do not mean it was unperformed.</w:t>
      </w:r>
    </w:p>
    <w:bookmarkEnd w:id="44"/>
    <w:bookmarkEnd w:id="45"/>
    <w:bookmarkStart w:id="46" w:name="conclusion"/>
    <w:p>
      <w:pPr>
        <w:pStyle w:val="Heading2"/>
        <w:widowControl/>
      </w:pPr>
      <w:r>
        <w:t xml:space="preserve">6 Conclusion</w:t>
      </w:r>
    </w:p>
    <w:p>
      <w:pPr>
        <w:pStyle w:val="FirstParagraph"/>
        <w:widowControl/>
      </w:pPr>
      <w:r>
        <w:t>Across 1,281 successful EUA auctions during 2020–2025, reported bid and award dispersion have a residual correlation near 0.65. Their association is stronger in the later historical period despite lower marginal ratio levels. The period contrast survives selected-moment standardization, although auction-volume distributions remain unequal. The separate 2026 quantity sample is directionally consistent but provides only short-axis temporal diagnostics.</w:t>
      </w:r>
    </w:p>
    <w:p>
      <w:pPr>
        <w:pStyle w:val="BodyText"/>
        <w:widowControl/>
      </w:pPr>
      <w:r>
        <w:t>In the matched 240-auction German subsample, reported bid dispersion is negatively associated with the official signed price deviation conditional on conventional auction indicators and the same-auction price level. The fitted interquartile contrast is −14.51 basis points. The absolute-deviation result and the influence of 2022 do not justify a blanket claim of greater price alignment or stable magnitude. Together, the findings identify distinct report-level quantity and price relationships, not a causal allocation mechanism, procurement saving or forecast improvement.</w:t>
      </w:r>
    </w:p>
    <w:bookmarkEnd w:id="46"/>
    <w:bookmarkStart w:id="47" w:name="data-and-computer-code-availability"/>
    <w:p>
      <w:pPr>
        <w:pStyle w:val="Heading2"/>
        <w:widowControl/>
      </w:pPr>
      <w:r>
        <w:t xml:space="preserve">Data and computer code availability</w:t>
      </w:r>
    </w:p>
    <w:p>
      <w:pPr>
        <w:pStyle w:val="FirstParagraph"/>
        <w:widowControl/>
      </w:pPr>
      <w:r>
        <w:t>Data and computer code are documented at fixed revisions of repository 124-creator/-123. Historical quantity inputs are identified by 5745eb3ddca79602346053446583d794b0e09800; the completed price code, aggregate estimates and verification records are fixed at fccd471de96548bd781c59aced4a59435aae08ac. Post-estimation price descriptions and source-definition checks are fixed at 33707c164c80accd7acf9fcd3f0965088a8370f6. Online Resource 1 lists the earlier quantity analyses and the price-report locators. The authors hold the German official PDFs and matched event-level tables; those files are not included in the public aggregate package because bulk redistribution rights have not been established. Public outputs permit code and arithmetic review but not an independent row-level refit. The exact 2026 quantity snapshot is also absent from the package; its dynamic URL and hash do not substitute for accessible matching bytes. Provider rights and a lawful source-access arrangement must be respected in any journal deposit.</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bookmarkEnd w:id="48"/>
    <w:bookmarkStart w:id="49" w:name="supplementary-information"/>
    <w:p>
      <w:pPr>
        <w:pStyle w:val="Heading2"/>
        <w:widowControl/>
      </w:pPr>
      <w:r>
        <w:t xml:space="preserve">Supplementary information</w:t>
      </w:r>
    </w:p>
    <w:p>
      <w:pPr>
        <w:pStyle w:val="FirstParagraph"/>
        <w:widowControl/>
      </w:pPr>
      <w:r>
        <w:t>Online Resource 1 Field dictionary, source provenance, supplementary quantity and price estimates, uncertainty diagnostics and evidence-status map</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spacing w:line="247" w:lineRule="auto"/>
        <w:ind w:left="283" w:hanging="283"/>
      </w:pPr>
      <w:r>
        <w:rPr>
          <w:sz w:val="21"/>
        </w:rPr>
        <w:t>Li F, Morgan KL, Zaslavsky AM (2018) Balancing covariates via propensity score weighting. Journal of the American Statistical Association 113:390–400. https://doi.org/10.1080/01621459.2016.1260466</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MacKinnon JG, Nielsen MØ, Webb MD (2023) Fast and reliable jackknife and bootstrap methods for cluster-robust inference. Journal of Applied Econometrics 38:671–694. https://doi.org/10.1002/jae.2969</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p>
      <w:pPr>
        <w:pStyle w:val="BodyText"/>
        <w:widowControl/>
        <w:spacing w:line="247" w:lineRule="auto" w:after="60"/>
        <w:ind w:left="283" w:hanging="283"/>
      </w:pPr>
      <w:r>
        <w:rPr>
          <w:sz w:val="21"/>
        </w:rPr>
        <w:t>Otsubo Y (2026) Intraday and daily price discovery in carbon markets: EUA futures versus carbon ETFs. International Review of Finance 26:e70099. https://doi.org/10.1111/irfi.70099</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V9</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conditional association</cp:keywords>
  <dcterms:created xsi:type="dcterms:W3CDTF">2026-10-10T00:00:00Z</dcterms:created>
  <dcterms:modified xsi:type="dcterms:W3CDTF">2026-10-11T12:00:00Z</dcterms:modified>
  <cp:lastModifiedBy/>
  <dc:subject>Integrated author-review v9; completed price evidence, no new fits</dc:subject>
  <dc:description>No funding confirmed; prior Wang review retained. E2 reference gate remains unsatisfied.</dc:description>
</cp:coreProperties>
</file>

<file path=docProps/custom.xml><?xml version="1.0" encoding="utf-8"?>
<Properties xmlns="http://schemas.openxmlformats.org/officeDocument/2006/custom-properties" xmlns:vt="http://schemas.openxmlformats.org/officeDocument/2006/docPropsVTypes"/>
</file>