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nline-resource-1"/>
    <w:p>
      <w:pPr>
        <w:pStyle w:val="Title"/>
        <w:widowControl/>
      </w:pPr>
      <w:r>
        <w:t>Online Resource 1</w:t>
      </w:r>
    </w:p>
    <w:bookmarkStart w:id="29" w:name="X065e04b343dfa58b6551447c0e40a575f42572b"/>
    <w:p>
      <w:pPr>
        <w:pStyle w:val="Heading2"/>
        <w:widowControl/>
      </w:pPr>
      <w:r>
        <w:t>Quantity dispersion and reported price deviations in European carbon auctions</w:t>
      </w:r>
    </w:p>
    <w:p>
      <w:pPr>
        <w:pStyle w:val="FirstParagraph"/>
        <w:widowControl/>
        <w:spacing w:after="200"/>
        <w:jc w:val="center"/>
      </w:pPr>
      <w:r>
        <w:t>Conditional associations and historical scope</w:t>
      </w:r>
    </w:p>
    <w:p>
      <w:pPr>
        <w:pStyle w:val="BodyText"/>
        <w:widowControl/>
      </w:pPr>
      <w:r>
        <w:t>Journal: Empirical Economics (intended submission; not yet submitted)</w:t>
        <w:br/>
        <w:t>Authors: Zhongfei Tian; Xiang Wang</w:t>
        <w:br/>
        <w:t>Affiliation: Zhengzhou University of Aeronautics, Zhengzhou, Henan, China</w:t>
        <w:br/>
        <w:t>Corresponding author: Zhongfei Tian, 15517837680@163.com</w:t>
        <w:br/>
        <w:t>Version: Integrated author-review v9, 11 October 2026</w:t>
      </w:r>
    </w:p>
    <w:bookmarkStart w:id="20" w:name="s1-purpose-and-fixed-numerical-record"/>
    <w:p>
      <w:pPr>
        <w:pStyle w:val="Heading3"/>
        <w:widowControl/>
      </w:pPr>
      <w:r>
        <w:t xml:space="preserve">S1 Purpose and fixed numerical record</w:t>
      </w:r>
    </w:p>
    <w:p>
      <w:pPr>
        <w:pStyle w:val="FirstParagraph"/>
        <w:widowControl/>
      </w:pPr>
      <w:r>
        <w:t>This resource keeps the historical quantity evidence and later price extension distinct. Sections S1–S11 preserve the completed quantity analyses. Sections S12–S17 document the German report-level price data, its signed convention, descriptive context, four fixed models and diagnostic limits. Every numerical stage has a separate fixed source; the present integration does not re-estimate the market models.</w:t>
      </w:r>
    </w:p>
    <w:p>
      <w:pPr>
        <w:pStyle w:val="BodyText"/>
        <w:widowControl/>
      </w:pPr>
      <w:r>
        <w:t xml:space="preserve">The repository is</w:t>
      </w:r>
      <w:r>
        <w:t xml:space="preserve"> </w:t>
      </w:r>
      <w:r>
        <w:rPr>
          <w:rStyle w:val="VerbatimChar"/>
          <w:rFonts w:ascii="DejaVu Sans Mono" w:hAnsi="DejaVu Sans Mono"/>
          <w:sz w:val="16"/>
        </w:rPr>
        <w:t xml:space="preserve">124-creator/-123</w:t>
      </w:r>
      <w:r>
        <w:t xml:space="preserve">. The input is fixed at commit</w:t>
      </w:r>
      <w:r>
        <w:t xml:space="preserve"> </w:t>
      </w:r>
      <w:r>
        <w:rPr>
          <w:rStyle w:val="VerbatimChar"/>
          <w:rFonts w:ascii="DejaVu Sans Mono" w:hAnsi="DejaVu Sans Mono"/>
          <w:sz w:val="16"/>
        </w:rPr>
        <w:t xml:space="preserve">5745eb3ddca79602346053446583d794b0e09800</w:t>
      </w:r>
      <w:r>
        <w:t xml:space="preserve">. The principal results are fixed at</w:t>
      </w:r>
      <w:r>
        <w:t xml:space="preserve"> </w:t>
      </w:r>
      <w:r>
        <w:rPr>
          <w:rStyle w:val="VerbatimChar"/>
          <w:rFonts w:ascii="DejaVu Sans Mono" w:hAnsi="DejaVu Sans Mono"/>
          <w:sz w:val="16"/>
        </w:rPr>
        <w:t xml:space="preserve">e25c1e02e1a58e0aec1084f7419066855e9565ec</w:t>
      </w:r>
      <w:r>
        <w:t xml:space="preserve">, and the robustness extension at</w:t>
      </w:r>
      <w:r>
        <w:t xml:space="preserve"> </w:t>
      </w:r>
      <w:r>
        <w:rPr>
          <w:rStyle w:val="VerbatimChar"/>
          <w:rFonts w:ascii="DejaVu Sans Mono" w:hAnsi="DejaVu Sans Mono"/>
          <w:sz w:val="16"/>
        </w:rPr>
        <w:t xml:space="preserve">d4b26f1bbd8c1d7c036259e48e119c9c12f6c9a9</w:t>
      </w:r>
      <w:r>
        <w:t xml:space="preserve">. The respective paths are:</w:t>
      </w:r>
    </w:p>
    <w:p>
      <w:pPr>
        <w:pStyle w:val="Compact"/>
        <w:widowControl/>
        <w:numPr>
          <w:ilvl w:val="0"/>
          <w:numId w:val="1001"/>
        </w:numPr>
      </w:pPr>
      <w:r>
        <w:rPr>
          <w:rStyle w:val="VerbatimChar"/>
          <w:rFonts w:ascii="DejaVu Sans Mono" w:hAnsi="DejaVu Sans Mono"/>
          <w:sz w:val="16"/>
        </w:rPr>
        <w:t xml:space="preserve">research/pro_review_20261010/full_data/</w:t>
      </w:r>
    </w:p>
    <w:p>
      <w:pPr>
        <w:pStyle w:val="Compact"/>
        <w:widowControl/>
        <w:numPr>
          <w:ilvl w:val="0"/>
          <w:numId w:val="1001"/>
        </w:numPr>
      </w:pPr>
      <w:r>
        <w:rPr>
          <w:rStyle w:val="VerbatimChar"/>
          <w:rFonts w:ascii="DejaVu Sans Mono" w:hAnsi="DejaVu Sans Mono"/>
          <w:sz w:val="16"/>
        </w:rPr>
        <w:t xml:space="preserve">research/eex_abc_results_20261010/</w:t>
      </w:r>
    </w:p>
    <w:p>
      <w:pPr>
        <w:pStyle w:val="Compact"/>
        <w:widowControl/>
        <w:numPr>
          <w:ilvl w:val="0"/>
          <w:numId w:val="1001"/>
        </w:numPr>
      </w:pPr>
      <w:r>
        <w:rPr>
          <w:rStyle w:val="VerbatimChar"/>
          <w:rFonts w:ascii="DejaVu Sans Mono" w:hAnsi="DejaVu Sans Mono"/>
          <w:sz w:val="16"/>
        </w:rPr>
        <w:t xml:space="preserve">research/eex_robustness_20261010/</w:t>
      </w:r>
    </w:p>
    <w:p>
      <w:pPr>
        <w:pStyle w:val="FirstParagraph"/>
        <w:widowControl/>
      </w:pPr>
      <w:r>
        <w:t xml:space="preserve">The first path contains the raw-workbook identifiers, complete extraction, candidate sample, exclusions and cell traces. The latter two contain the analysis code, protocols, result summaries and receipts. Reproduction should start from the fixed input and rebuild the eligibility rules, not filter until the reported sample size is reached. Data rights remain with the original provider; final journal deposit or access arrangements require author confirmation.</w:t>
      </w:r>
    </w:p>
    <w:bookmarkEnd w:id="20"/>
    <w:bookmarkStart w:id="21" w:name="s2-fields-observations-and-eligibility"/>
    <w:p>
      <w:pPr>
        <w:pStyle w:val="Heading3"/>
        <w:widowControl/>
      </w:pPr>
      <w:r>
        <w:t xml:space="preserve">S2 Fields, observations and eligibility</w:t>
      </w:r>
    </w:p>
    <w:p>
      <w:pPr>
        <w:pStyle w:val="FirstParagraph"/>
        <w:keepNext/>
        <w:widowControl/>
        <w:spacing w:after="80"/>
      </w:pPr>
      <w:r>
        <w:rPr>
          <w:b/>
          <w:bCs/>
          <w:sz w:val="21"/>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969"/>
        <w:gridCol w:w="430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Symbol</w:t>
            </w:r>
          </w:p>
        </w:tc>
        <w:tc>
          <w:tcPr>
            <w:tcW w:type="dxa" w:w="396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Original field label</w:t>
            </w:r>
          </w:p>
        </w:tc>
        <w:tc>
          <w:tcPr>
            <w:tcW w:type="dxa" w:w="430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bid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bid volume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V</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 tCO2</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B</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Amount of Bids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R</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N</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Number of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S</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Number of Successful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participants, not number of successful orders</w:t>
            </w:r>
          </w:p>
        </w:tc>
      </w:tr>
    </w:tbl>
    <w:p>
      <w:pPr>
        <w:pStyle w:val="BodyText"/>
        <w:keepLines/>
        <w:widowControl/>
        <w:spacing w:line="250" w:lineRule="auto" w:after="140"/>
      </w:pPr>
      <w:r>
        <w:rPr>
          <w:i/>
          <w:iCs/>
          <w:sz w:val="19"/>
        </w:rPr>
        <w:t xml:space="preserve">Note:</w:t>
      </w:r>
      <w:r>
        <w:rPr>
          <w:sz w:val="19"/>
        </w:rPr>
        <w:t xml:space="preserve"> </w:t>
      </w:r>
      <w:r>
        <w:rPr>
          <w:sz w:val="19"/>
        </w:rPr>
        <w:t xml:space="preserve">Quantity fields use tCO2 in the source. Literal labels are reproduced from row 6 of Primary Market Auction in each annual workbook. In particular, column M is</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widowControl/>
      </w:pPr>
      <w: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widowControl/>
      </w:pPr>
      <w: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bookmarkEnd w:id="21"/>
    <w:bookmarkStart w:id="22" w:name="X15afce11c124e8a5bcb4e0a0a09237725ba5df1"/>
    <w:p>
      <w:pPr>
        <w:pStyle w:val="Heading3"/>
        <w:widowControl/>
      </w:pPr>
      <w:r>
        <w:t xml:space="preserve">S3 Projection and resampling implementation</w:t>
      </w:r>
    </w:p>
    <w:p>
      <w:pPr>
        <w:pStyle w:val="FirstParagraph"/>
        <w:widowControl/>
      </w:pPr>
      <w: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widowControl/>
      </w:pPr>
      <w:r>
        <w:t xml:space="preserve">For pooled block length</w:t>
      </w:r>
      <w:r>
        <w:t xml:space="preserve"> </w:t>
      </w:r>
      <m:oMath>
        <m:r>
          <m:t>L</m:t>
        </m:r>
      </m:oMath>
      <w:r>
        <w:t xml:space="preserve">, draw starting months uniformly from</w:t>
      </w:r>
      <w:r>
        <w:t xml:space="preserve"> </w:t>
      </w:r>
      <m:oMath>
        <m:r>
          <m:t>0</m:t>
        </m:r>
        <m:r>
          <m:rPr>
            <m:sty m:val="p"/>
          </m:rPr>
          <m:t>,</m:t>
        </m:r>
        <m:r>
          <m:rPr>
            <m:sty m:val="p"/>
          </m:rPr>
          <m:t>…</m:t>
        </m:r>
        <m:r>
          <m:rPr>
            <m:sty m:val="p"/>
          </m:rPr>
          <m:t>,</m:t>
        </m:r>
        <m:r>
          <m:t>M</m:t>
        </m:r>
        <m:r>
          <m:rPr>
            <m:sty m:val="p"/>
          </m:rPr>
          <m:t>−</m:t>
        </m:r>
        <m:r>
          <m:t>L</m:t>
        </m:r>
      </m:oMath>
      <w:r>
        <w:t xml:space="preserve"> </w:t>
      </w:r>
      <w:r>
        <w:t xml:space="preserve">with</w:t>
      </w:r>
      <w:r>
        <w:t xml:space="preserve"> </w:t>
      </w:r>
      <m:oMath>
        <m:r>
          <m:t>M</m:t>
        </m:r>
        <m:r>
          <m:rPr>
            <m:sty m:val="p"/>
          </m:rPr>
          <m:t>=</m:t>
        </m:r>
        <m:r>
          <m:t>72</m:t>
        </m:r>
      </m:oMath>
      <w:r>
        <w:t xml:space="preserve">. Append each selected contiguous block of</w:t>
      </w:r>
      <w:r>
        <w:t xml:space="preserve"> </w:t>
      </w:r>
      <m:oMath>
        <m:r>
          <m:t>L</m:t>
        </m:r>
      </m:oMath>
      <w:r>
        <w:t xml:space="preserve"> </w:t>
      </w:r>
      <w: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widowControl/>
      </w:pPr>
      <w:r>
        <w:t xml:space="preserve">The principal stream uses</w:t>
      </w:r>
      <w:r>
        <w:t xml:space="preserve"> </w:t>
      </w:r>
      <w:r>
        <w:rPr>
          <w:rStyle w:val="VerbatimChar"/>
          <w:rFonts w:ascii="DejaVu Sans Mono" w:hAnsi="DejaVu Sans Mono"/>
          <w:sz w:val="16"/>
        </w:rPr>
        <w:t xml:space="preserve">SeedSequence([20261010, block_length])</w:t>
      </w:r>
      <w: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widowControl/>
      </w:pPr>
      <w:r>
        <w:t xml:space="preserve">For the historical split, each original half has 36 months. Independent three-month resampling within each half produces 999 paired comparisons, shared across A and C. The extension protocol records the period stream</w:t>
      </w:r>
      <w:r>
        <w:t xml:space="preserve"> </w:t>
      </w:r>
      <w:r>
        <w:rPr>
          <w:rStyle w:val="VerbatimChar"/>
          <w:rFonts w:ascii="DejaVu Sans Mono" w:hAnsi="DejaVu Sans Mono"/>
          <w:sz w:val="16"/>
        </w:rPr>
        <w:t xml:space="preserve">[20261010, 2, 1]</w:t>
      </w:r>
      <w:r>
        <w:t xml:space="preserve">, the reduced-control stream</w:t>
      </w:r>
      <w:r>
        <w:t xml:space="preserve"> </w:t>
      </w:r>
      <w:r>
        <w:rPr>
          <w:rStyle w:val="VerbatimChar"/>
          <w:rFonts w:ascii="DejaVu Sans Mono" w:hAnsi="DejaVu Sans Mono"/>
          <w:sz w:val="16"/>
        </w:rPr>
        <w:t xml:space="preserve">[20261010, 2, 2]</w:t>
      </w:r>
      <w:r>
        <w:t xml:space="preserve"> </w:t>
      </w:r>
      <w:r>
        <w:t xml:space="preserve">and the series stream</w:t>
      </w:r>
      <w:r>
        <w:t xml:space="preserve"> </w:t>
      </w:r>
      <w:r>
        <w:rPr>
          <w:rStyle w:val="VerbatimChar"/>
          <w:rFonts w:ascii="DejaVu Sans Mono" w:hAnsi="DejaVu Sans Mono"/>
          <w:sz w:val="16"/>
        </w:rPr>
        <w:t xml:space="preserve">[20261010, 2, 3]</w:t>
      </w:r>
      <w: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widowControl/>
      </w:pPr>
      <w: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bookmarkEnd w:id="22"/>
    <w:bookmarkStart w:id="23" w:name="s4-additional-numerical-results"/>
    <w:p>
      <w:pPr>
        <w:pStyle w:val="Heading3"/>
        <w:widowControl/>
      </w:pPr>
      <w:r>
        <w:t xml:space="preserve">S4 Additional numerical results</w:t>
      </w:r>
    </w:p>
    <w:p>
      <w:pPr>
        <w:pStyle w:val="FirstParagraph"/>
        <w:keepNext/>
        <w:widowControl/>
        <w:spacing w:after="80"/>
      </w:pPr>
      <w:r>
        <w:rPr>
          <w:b/>
          <w:bCs/>
          <w:sz w:val="21"/>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850"/>
        <w:gridCol w:w="1304"/>
        <w:gridCol w:w="850"/>
        <w:gridCol w:w="3061"/>
        <w:gridCol w:w="3231"/>
      </w:tblGrid>
      <w:tr>
        <w:trPr>
          <w:tblHeader w:val="on"/>
          <w:cantSplit/>
          <w:tblHeader/>
        </w:trPr>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30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Block months</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Draws</w:t>
            </w:r>
          </w:p>
        </w:tc>
        <w:tc>
          <w:tcPr>
            <w:tcW w:type="dxa" w:w="306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β</m:t>
              </m:r>
            </m:oMath>
            <w:r>
              <w:rPr>
                <w:rFonts w:ascii="Times New Roman" w:hAnsi="Times New Roman"/>
                <w:b/>
                <w:sz w:val="19"/>
              </w:rPr>
              <w:t xml:space="preserve">: 95% interval</w:t>
            </w:r>
          </w:p>
        </w:tc>
        <w:tc>
          <w:tcPr>
            <w:tcW w:type="dxa" w:w="323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95% interval</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[0.7807, 0.9833]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[0.5903, 0.7158]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[0.7350, 1.0292]</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[0.5564, 0.7438]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[0.7907, 0.9714]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[0.5855, 0.7134]</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[0.7503, 1.0090]</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[0.5526, 0.7493]</w:t>
            </w:r>
          </w:p>
        </w:tc>
      </w:tr>
    </w:tbl>
    <w:p>
      <w:pPr>
        <w:pStyle w:val="BodyText"/>
        <w:keepLines/>
        <w:widowControl/>
        <w:spacing w:line="250" w:lineRule="auto" w:after="140"/>
      </w:pPr>
      <w:r>
        <w:rPr>
          <w:i/>
          <w:iCs/>
          <w:sz w:val="19"/>
        </w:rPr>
        <w:t xml:space="preserve">Note:</w:t>
      </w:r>
      <w:r>
        <w:rPr>
          <w:sz w:val="19"/>
        </w:rPr>
        <w:t xml:space="preserve"> </w:t>
      </w:r>
      <w:r>
        <w:rPr>
          <w:sz w:val="19"/>
        </w:rPr>
        <w:t xml:space="preserve">These are exploratory percentile intervals. Three-month rows reproduce the principal result; they are not additional replications. Sensitivity endpoints based on 199 draws have non-negligible Monte Carlo variability.</w:t>
      </w:r>
    </w:p>
    <w:p>
      <w:pPr>
        <w:pStyle w:val="BodyText"/>
        <w:keepNext/>
        <w:widowControl/>
        <w:spacing w:after="80"/>
      </w:pPr>
      <w:r>
        <w:rPr>
          <w:b/>
          <w:bCs/>
          <w:sz w:val="21"/>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month</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[0.6419, 0.6656]</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year</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[0.6058, 0.6981]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reporting series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[0.6019, 0.7120]</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observation</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[0.6467, 0.6569]</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Top 13 Cook-distance rows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0.6911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0.6930</w:t>
            </w:r>
          </w:p>
        </w:tc>
      </w:tr>
    </w:tbl>
    <w:p>
      <w:pPr>
        <w:pStyle w:val="BodyText"/>
        <w:keepLines/>
        <w:widowControl/>
        <w:spacing w:line="250" w:lineRule="auto" w:after="140"/>
      </w:pPr>
      <w:r>
        <w:rPr>
          <w:i/>
          <w:iCs/>
          <w:sz w:val="19"/>
        </w:rPr>
        <w:t xml:space="preserve">Note:</w:t>
      </w:r>
      <w:r>
        <w:rPr>
          <w:sz w:val="19"/>
        </w:rPr>
        <w:t xml:space="preserve"> </w:t>
      </w:r>
      <w:r>
        <w:rPr>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BodyText"/>
        <w:keepNext/>
        <w:widowControl/>
        <w:spacing w:after="80"/>
      </w:pPr>
      <w:r>
        <w:rPr>
          <w:b/>
          <w:bCs/>
          <w:sz w:val="21"/>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0.8138 [0.7005, 0.8850]</w:t>
            </w:r>
          </w:p>
        </w:tc>
      </w:tr>
    </w:tbl>
    <w:p>
      <w:pPr>
        <w:pStyle w:val="BodyText"/>
        <w:keepLines/>
        <w:widowControl/>
        <w:spacing w:line="250" w:lineRule="auto" w:after="140"/>
      </w:pPr>
      <w:r>
        <w:rPr>
          <w:i/>
          <w:iCs/>
          <w:sz w:val="19"/>
        </w:rPr>
        <w:t xml:space="preserve">Note:</w:t>
      </w:r>
      <w:r>
        <w:rPr>
          <w:sz w:val="19"/>
        </w:rPr>
        <w:t xml:space="preserve"> </w:t>
      </w:r>
      <w:r>
        <w:rPr>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widowControl/>
      </w:pPr>
      <w:r>
        <w:t xml:space="preserve">The interquartile-scale contrasts reported in the main article are already present in the frozen extension output. Under A,</w:t>
      </w:r>
      <w:r>
        <w:t xml:space="preserve"> </w:t>
      </w:r>
      <m:oMath>
        <m:r>
          <m:rPr>
            <m:sty m:val="p"/>
          </m:rPr>
          <m:t>IQR</m:t>
        </m:r>
        <m:d>
          <m:dPr>
            <m:begChr m:val="("/>
            <m:endChr m:val=")"/>
            <m:sepChr m:val=""/>
            <m:grow/>
          </m:dPr>
          <m:e>
            <m:sSub>
              <m:e>
                <m:r>
                  <m:t>M</m:t>
                </m:r>
              </m:e>
              <m:sub>
                <m:r>
                  <m:t>Z</m:t>
                </m:r>
              </m:sub>
            </m:sSub>
            <m:r>
              <m:t>x</m:t>
            </m:r>
          </m:e>
        </m:d>
        <m:r>
          <m:rPr>
            <m:sty m:val="p"/>
          </m:rPr>
          <m:t>=</m:t>
        </m:r>
        <m:r>
          <m:t>0.0927037454</m:t>
        </m:r>
      </m:oMath>
      <w:r>
        <w:t xml:space="preserve"> </w:t>
      </w:r>
      <w: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bookmarkEnd w:id="23"/>
    <w:bookmarkStart w:id="24" w:name="s5-denominator-identities-and-rounding"/>
    <w:p>
      <w:pPr>
        <w:pStyle w:val="Heading3"/>
        <w:widowControl/>
      </w:pPr>
      <w:r>
        <w:t xml:space="preserve">S5 Denominator identities and rounding</w:t>
      </w:r>
    </w:p>
    <w:p>
      <w:pPr>
        <w:pStyle w:val="FirstParagraph"/>
        <w:keepNext/>
        <w:widowControl/>
      </w:pPr>
      <w:r>
        <w:t xml:space="preserve">For this diagnostic only, a superscript c labels constructed fields. Define</w:t>
      </w:r>
      <w:r>
        <w:t xml:space="preserve"> </w:t>
      </w:r>
      <m:oMath>
        <m:sSup>
          <m:e>
            <m:r>
              <m:t>μ</m:t>
            </m:r>
          </m:e>
          <m:sup>
            <m:r>
              <m:t>b</m:t>
            </m:r>
            <m:r>
              <m:rPr>
                <m:sty m:val="p"/>
              </m:rPr>
              <m:t>,</m:t>
            </m:r>
            <m:r>
              <m:rPr>
                <m:sty m:val="p"/>
              </m:rPr>
              <m:t>c</m:t>
            </m:r>
          </m:sup>
        </m:sSup>
        <m:r>
          <m:rPr>
            <m:sty m:val="p"/>
          </m:rPr>
          <m:t>=</m:t>
        </m:r>
        <m:r>
          <m:t>B</m:t>
        </m:r>
        <m:r>
          <m:rPr>
            <m:sty m:val="p"/>
          </m:rPr>
          <m:t>/</m:t>
        </m:r>
        <m:r>
          <m:t>N</m:t>
        </m:r>
      </m:oMath>
      <w:r>
        <w:t xml:space="preserve">,</w:t>
      </w:r>
      <w:r>
        <w:t xml:space="preserve"> </w:t>
      </w:r>
      <m:oMath>
        <m:sSup>
          <m:e>
            <m:r>
              <m:t>μ</m:t>
            </m:r>
          </m:e>
          <m:sup>
            <m:r>
              <m:t>w</m:t>
            </m:r>
            <m:r>
              <m:rPr>
                <m:sty m:val="p"/>
              </m:rPr>
              <m:t>,</m:t>
            </m:r>
            <m:r>
              <m:rPr>
                <m:sty m:val="p"/>
              </m:rPr>
              <m:t>c</m:t>
            </m:r>
          </m:sup>
        </m:sSup>
        <m:r>
          <m:rPr>
            <m:sty m:val="p"/>
          </m:rPr>
          <m:t>=</m:t>
        </m:r>
        <m:r>
          <m:t>V</m:t>
        </m:r>
        <m:r>
          <m:rPr>
            <m:sty m:val="p"/>
          </m:rPr>
          <m:t>/</m:t>
        </m:r>
        <m:r>
          <m:t>S</m:t>
        </m:r>
      </m:oMath>
      <w:r>
        <w:t xml:space="preserve"> </w:t>
      </w:r>
      <w:r>
        <w:t xml:space="preserve">and</w:t>
      </w:r>
      <w:r>
        <w:t xml:space="preserve"> </w:t>
      </w:r>
      <m:oMath>
        <m:sSup>
          <m:e>
            <m:r>
              <m:t>R</m:t>
            </m:r>
          </m:e>
          <m:sup>
            <m:r>
              <m:rPr>
                <m:sty m:val="p"/>
              </m:rPr>
              <m:t>c</m:t>
            </m:r>
          </m:sup>
        </m:sSup>
        <m:r>
          <m:rPr>
            <m:sty m:val="p"/>
          </m:rPr>
          <m:t>=</m:t>
        </m:r>
        <m:r>
          <m:t>B</m:t>
        </m:r>
        <m:r>
          <m:rPr>
            <m:sty m:val="p"/>
          </m:rPr>
          <m:t>/</m:t>
        </m:r>
        <m:r>
          <m:t>V</m:t>
        </m:r>
      </m:oMath>
      <w:r>
        <w:t xml:space="preserve">, retaining</w:t>
      </w:r>
      <w:r>
        <w:t xml:space="preserve"> </w:t>
      </w:r>
      <m:oMath>
        <m:r>
          <m:t>V</m:t>
        </m:r>
      </m:oMath>
      <w:r>
        <w:t xml:space="preserve"> </w:t>
      </w:r>
      <w:r>
        <w:t xml:space="preserve">as the reported auction-volume field. For positive components,</w:t>
      </w:r>
    </w:p>
    <w:p>
      <w:pPr>
        <w:pStyle w:val="BodyText"/>
        <w:keepNext/>
        <w:keepLines/>
        <w:widowControl/>
        <w:tabs>
          <w:tab w:pos="4649" w:val="center"/>
          <w:tab w:pos="9298" w:val="right"/>
        </w:tabs>
        <w:spacing w:before="60" w:after="120"/>
        <w:jc w:val="left"/>
      </w:pPr>
      <w: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sz w:val="21"/>
        </w:rPr>
        <w:tab/>
        <w:t>(S1)</w:t>
      </w:r>
    </w:p>
    <w:p>
      <w:pPr>
        <w:pStyle w:val="FirstParagraph"/>
        <w:keepLines/>
        <w:widowControl/>
        <w:tabs>
          <w:tab w:pos="4649" w:val="center"/>
          <w:tab w:pos="9298" w:val="right"/>
        </w:tabs>
        <w:spacing w:before="60" w:after="120"/>
        <w:jc w:val="left"/>
      </w:pPr>
      <w: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sz w:val="21"/>
        </w:rPr>
        <w:tab/>
        <w:t>(S2)</w:t>
      </w:r>
    </w:p>
    <w:p>
      <w:pPr>
        <w:pStyle w:val="FirstParagraph"/>
        <w:keepNext/>
        <w:widowControl/>
      </w:pPr>
      <w:r>
        <w:t xml:space="preserve">If the common nuisance space</w:t>
      </w:r>
      <w:r>
        <w:t xml:space="preserve"> </w:t>
      </w:r>
      <m:oMath>
        <m:sSup>
          <m:e>
            <m:r>
              <m:rPr>
                <m:sty m:val="b"/>
              </m:rPr>
              <m:t>Z</m:t>
            </m:r>
          </m:e>
          <m:sup>
            <m:r>
              <m:rPr>
                <m:sty m:val="p"/>
              </m:rPr>
              <m:t>c</m:t>
            </m:r>
          </m:sup>
        </m:sSup>
      </m:oMath>
      <w:r>
        <w:t xml:space="preserve"> </w:t>
      </w:r>
      <w:r>
        <w:t xml:space="preserve">contains these constructed log totals and counts, linear projection gives</w:t>
      </w:r>
    </w:p>
    <w:p>
      <w:pPr>
        <w:pStyle w:val="BodyText"/>
        <w:keepLines/>
        <w:widowControl/>
        <w:tabs>
          <w:tab w:pos="4649" w:val="center"/>
          <w:tab w:pos="9298" w:val="right"/>
        </w:tabs>
        <w:spacing w:before="60" w:after="120"/>
        <w:jc w:val="left"/>
      </w:pPr>
      <w:r>
        <w:tab/>
      </w:r>
      <m:oMath>
        <m:sSub>
          <m:e>
            <m:r>
              <m:t>M</m:t>
            </m:r>
          </m:e>
          <m:sub>
            <m:sSup>
              <m:e>
                <m: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b</m:t>
            </m:r>
          </m:sup>
        </m:sSup>
        <m:r>
          <m:rPr>
            <m:sty m:val="p"/>
          </m:rPr>
          <m:t>,</m:t>
        </m:r>
        <m:r>
          <m:t>  </m:t>
        </m:r>
        <m:sSub>
          <m:e>
            <m:r>
              <m:t>M</m:t>
            </m:r>
          </m:e>
          <m:sub>
            <m:sSup>
              <m:e>
                <m: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sz w:val="21"/>
        </w:rPr>
        <w:tab/>
        <w:t>(S3)</w:t>
      </w:r>
    </w:p>
    <w:p>
      <w:pPr>
        <w:pStyle w:val="FirstParagraph"/>
        <w:widowControl/>
      </w:pPr>
      <w:r>
        <w:t xml:space="preserve">The completed calculation yields maximum residual discrepancies of approximately</w:t>
      </w:r>
      <w:r>
        <w:t xml:space="preserve"> </w:t>
      </w:r>
      <m:oMath>
        <m:r>
          <m:t>7.47</m:t>
        </m:r>
        <m:r>
          <m:rPr>
            <m:sty m:val="p"/>
          </m:rPr>
          <m:t>×</m:t>
        </m:r>
        <m:sSup>
          <m:e>
            <m:r>
              <m:t>10</m:t>
            </m:r>
          </m:e>
          <m:sup>
            <m:r>
              <m:rPr>
                <m:sty m:val="p"/>
              </m:rPr>
              <m:t>−</m:t>
            </m:r>
            <m:r>
              <m:t>15</m:t>
            </m:r>
          </m:sup>
        </m:sSup>
      </m:oMath>
      <w:r>
        <w:t xml:space="preserve"> </w:t>
      </w:r>
      <w:r>
        <w:t xml:space="preserve">and</w:t>
      </w:r>
      <w:r>
        <w:t xml:space="preserve"> </w:t>
      </w:r>
      <m:oMath>
        <m:r>
          <m:t>7.09</m:t>
        </m:r>
        <m:r>
          <m:rPr>
            <m:sty m:val="p"/>
          </m:rPr>
          <m:t>×</m:t>
        </m:r>
        <m:sSup>
          <m:e>
            <m:r>
              <m:t>10</m:t>
            </m:r>
          </m:e>
          <m:sup>
            <m:r>
              <m:rPr>
                <m:sty m:val="p"/>
              </m:rPr>
              <m:t>−</m:t>
            </m:r>
            <m:r>
              <m:t>15</m:t>
            </m:r>
          </m:sup>
        </m:sSup>
      </m:oMath>
      <w:r>
        <w:t xml:space="preserve">. These are algebraic and implementation checks, not another economic finding. They do not supply an independently observed total award</w:t>
      </w:r>
      <w:r>
        <w:t xml:space="preserve"> </w:t>
      </w:r>
      <m:oMath>
        <m:r>
          <m:t>W</m:t>
        </m:r>
      </m:oMath>
      <w:r>
        <w:t xml:space="preserve"> </w:t>
      </w:r>
      <w:r>
        <w:t xml:space="preserve">or authenticate</w:t>
      </w:r>
      <w:r>
        <w:t xml:space="preserve"> </w:t>
      </w:r>
      <m:oMath>
        <m:r>
          <m:t>V</m:t>
        </m:r>
        <m:r>
          <m:rPr>
            <m:sty m:val="p"/>
          </m:rPr>
          <m:t>=</m:t>
        </m:r>
        <m:r>
          <m:t>W</m:t>
        </m:r>
      </m:oMath>
      <w:r>
        <w:t xml:space="preserve">.</w:t>
      </w:r>
    </w:p>
    <w:p>
      <w:pPr>
        <w:pStyle w:val="BodyText"/>
        <w:widowControl/>
      </w:pPr>
      <w:r>
        <w:t xml:space="preserve">With the original reported rather than constructed values, mean discrepancies relative to</w:t>
      </w:r>
      <w:r>
        <w:t xml:space="preserve"> </w:t>
      </w:r>
      <m:oMath>
        <m:r>
          <m:t>B</m:t>
        </m:r>
        <m:r>
          <m:rPr>
            <m:sty m:val="p"/>
          </m:rPr>
          <m:t>/</m:t>
        </m:r>
        <m:r>
          <m:t>N</m:t>
        </m:r>
      </m:oMath>
      <w:r>
        <w:t xml:space="preserve"> </w:t>
      </w:r>
      <w:r>
        <w:t xml:space="preserve">and</w:t>
      </w:r>
      <w:r>
        <w:t xml:space="preserve"> </w:t>
      </w:r>
      <m:oMath>
        <m:r>
          <m:t>V</m:t>
        </m:r>
        <m:r>
          <m:rPr>
            <m:sty m:val="p"/>
          </m:rPr>
          <m:t>/</m:t>
        </m:r>
        <m:r>
          <m:t>S</m:t>
        </m:r>
      </m:oMath>
      <w:r>
        <w:t xml:space="preserve"> </w:t>
      </w:r>
      <w:r>
        <w:t xml:space="preserve">reach 0.5 quantity units, while the cover-ratio discrepancy relative to</w:t>
      </w:r>
      <w:r>
        <w:t xml:space="preserve"> </w:t>
      </w:r>
      <m:oMath>
        <m:r>
          <m:t>B</m:t>
        </m:r>
        <m:r>
          <m:rPr>
            <m:sty m:val="p"/>
          </m:rPr>
          <m:t>/</m:t>
        </m:r>
        <m:r>
          <m:t>V</m:t>
        </m:r>
      </m:oMath>
      <w:r>
        <w:t xml:space="preserve"> </w:t>
      </w:r>
      <w: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widowControl/>
      </w:pPr>
      <w:r>
        <w:t xml:space="preserve">A related interpretation boundary concerns concentration. If</w:t>
      </w:r>
      <w:r>
        <w:t xml:space="preserve"> </w:t>
      </w:r>
      <m:oMath>
        <m:r>
          <m:t>m</m:t>
        </m:r>
      </m:oMath>
      <w:r>
        <w:t xml:space="preserve"> </w:t>
      </w:r>
      <w:r>
        <w:t xml:space="preserve">quantities genuinely form one population with common mean</w:t>
      </w:r>
      <w:r>
        <w:t xml:space="preserve"> </w:t>
      </w:r>
      <m:oMath>
        <m:r>
          <m:t>μ</m:t>
        </m:r>
      </m:oMath>
      <w:r>
        <w:t xml:space="preserve"> </w:t>
      </w:r>
      <w:r>
        <w:t xml:space="preserve">and</w:t>
      </w:r>
      <w: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t xml:space="preserve">, then its single-auction quantity-share concentration is</w:t>
      </w:r>
    </w:p>
    <w:p>
      <w:pPr>
        <w:pStyle w:val="BodyText"/>
        <w:keepLines/>
        <w:widowControl/>
        <w:tabs>
          <w:tab w:pos="4649" w:val="center"/>
          <w:tab w:pos="9298" w:val="right"/>
        </w:tabs>
        <w:spacing w:before="60" w:after="120"/>
        <w:jc w:val="left"/>
      </w:pPr>
      <w: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sz w:val="21"/>
        </w:rPr>
        <w:tab/>
        <w:t>(S4)</w:t>
      </w:r>
    </w:p>
    <w:p>
      <w:pPr>
        <w:pStyle w:val="FirstParagraph"/>
        <w:widowControl/>
      </w:pPr>
      <w:r>
        <w:t xml:space="preserve">This conditional moment identity is standard algebra. It does not justify substituting</w:t>
      </w:r>
      <w:r>
        <w:t xml:space="preserve"> </w:t>
      </w:r>
      <m:oMath>
        <m:r>
          <m:t>N</m:t>
        </m:r>
      </m:oMath>
      <w:r>
        <w:t xml:space="preserve"> </w:t>
      </w:r>
      <w:r>
        <w:t xml:space="preserve">or</w:t>
      </w:r>
      <w:r>
        <w:t xml:space="preserve"> </w:t>
      </w:r>
      <m:oMath>
        <m:r>
          <m:t>S</m:t>
        </m:r>
      </m:oMath>
      <w:r>
        <w:t xml:space="preserve"> </w:t>
      </w:r>
      <w: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bookmarkEnd w:id="24"/>
    <w:bookmarkStart w:id="25" w:name="X3d2eef603de534bb8eb42a899fc1e170925a6b7"/>
    <w:p>
      <w:pPr>
        <w:pStyle w:val="Heading3"/>
        <w:widowControl/>
      </w:pPr>
      <w:r>
        <w:t xml:space="preserve">S6 Exploration record and author responsibilities</w:t>
      </w:r>
    </w:p>
    <w:p>
      <w:pPr>
        <w:pStyle w:val="FirstParagraph"/>
        <w:widowControl/>
      </w:pPr>
      <w: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widowControl/>
      </w:pPr>
      <w: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widowControl/>
      </w:pPr>
      <w:r>
        <w:t>The numerical reimplementations use the same archives and are not independent-market replications. Fitting counts record computation, not sample sizes. The corresponding author has confirmed no financial support and Xiang Wang's review of the preceding manuscript. Those confirmations remain in force. The current integrated version adds completed price evidence; actual contributions, competing interests and final source-access declarations are recorded separately in the author checklist.</w:t>
      </w:r>
    </w:p>
    <w:bookmarkEnd w:id="25"/>
    <w:bookmarkStart w:id="26" w:name="Xa56b06f71c42441fee0b37546895ea2baf522a2"/>
    <w:p>
      <w:pPr>
        <w:pStyle w:val="Heading3"/>
        <w:widowControl/>
      </w:pPr>
      <w:r>
        <w:t xml:space="preserve">S7 Interpretation of the fitted quantities</w:t>
      </w:r>
    </w:p>
    <w:p>
      <w:pPr>
        <w:pStyle w:val="FirstParagraph"/>
        <w:widowControl/>
      </w:pPr>
      <w:r>
        <w:t xml:space="preserve">The quantity coefficients, intervals and contrasts come from the frozen quantity outputs. Residual correlation is a symmetric in-sample statistic; the chosen direction of the regression is not evidence of temporal transmission. With one added regressor and identical residualization, partial</w:t>
      </w:r>
      <w:r>
        <w:t xml:space="preserve"> </w:t>
      </w:r>
      <m:oMath>
        <m:sSup>
          <m:e>
            <m:r>
              <m:t>R</m:t>
            </m:r>
          </m:e>
          <m:sup>
            <m:r>
              <m:t>2</m:t>
            </m:r>
          </m:sup>
        </m:sSup>
      </m:oMath>
      <w:r>
        <w:t xml:space="preserve"> </w:t>
      </w:r>
      <w:r>
        <w:t xml:space="preserve">equals the square of the residual correlation. These two numbers are not independent confirmations.</w:t>
      </w:r>
    </w:p>
    <w:p>
      <w:pPr>
        <w:pStyle w:val="BodyText"/>
        <w:widowControl/>
      </w:pPr>
      <w: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bookmarkEnd w:id="26"/>
    <w:bookmarkStart w:id="27" w:name="Xb0716afe529c3934761bbe0eb239f84d465273d"/>
    <w:p>
      <w:pPr>
        <w:pStyle w:val="Heading3"/>
        <w:widowControl/>
      </w:pPr>
      <w:r>
        <w:t xml:space="preserve">S8 Descriptive context and direct correlation contrasts added to the presentation</w:t>
      </w:r>
    </w:p>
    <w:p>
      <w:pPr>
        <w:pStyle w:val="FirstParagraph"/>
        <w:keepNext/>
        <w:widowControl/>
        <w:spacing w:after="80"/>
      </w:pPr>
      <w:r>
        <w:rPr>
          <w:b/>
          <w:bCs/>
          <w:sz w:val="21"/>
        </w:rPr>
        <w:t xml:space="preserve">Table S5 Descriptive statistics by historical period</w:t>
      </w:r>
    </w:p>
    <w:p>
      <w:pPr>
        <w:pStyle w:val="BodyText"/>
        <w:keepNext/>
        <w:widowControl/>
        <w:spacing w:after="80"/>
      </w:pPr>
      <w:r>
        <w:rPr>
          <w:i/>
          <w:iCs/>
          <w:sz w:val="21"/>
        </w:rPr>
        <w:t xml:space="preserve">Panel A: 2020–2022, n = 643</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0.874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1.864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1.790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2.100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3.770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2.692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3.082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4.844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3.887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4.761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Next/>
        <w:widowControl/>
        <w:spacing w:after="80"/>
      </w:pPr>
      <w:r>
        <w:rPr>
          <w:i/>
          <w:iCs/>
          <w:sz w:val="21"/>
        </w:rPr>
        <w:t xml:space="preserve">Panel B: 2023–2025, n = 638</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1.108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1.255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1.896</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0.665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2.295</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1.785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3.035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3.350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4.076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5.156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1.946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6.731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22.948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17.071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Lines/>
        <w:widowControl/>
        <w:spacing w:line="250" w:lineRule="auto" w:after="140"/>
      </w:pPr>
      <w:r>
        <w:rPr>
          <w:i/>
          <w:iCs/>
          <w:sz w:val="19"/>
        </w:rPr>
        <w:t xml:space="preserve">Note:</w:t>
      </w:r>
      <w:r>
        <w:rPr>
          <w:sz w:val="19"/>
        </w:rPr>
        <w:t xml:space="preserve"> </w:t>
      </w:r>
      <w:r>
        <w:rPr>
          <w:sz w:val="19"/>
        </w:rPr>
        <w:t xml:space="preserve">These previously tabulated summaries use the unchanged eligible auctions and equal row weights. Volume fields are in million tCO2; bidder counts and ratios are on their original scales. Quartiles use linear interpolation at (n−1)q (type 7). No p-values,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widowControl/>
      </w:pPr>
      <w:r>
        <w:t xml:space="preserve">The direct differences in correlation in main Table 4, Panel C, already exist in the frozen extension:</w:t>
      </w:r>
      <w:r>
        <w:t xml:space="preserve"> </w:t>
      </w:r>
      <w:r>
        <w:rPr>
          <w:rStyle w:val="VerbatimChar"/>
          <w:rFonts w:ascii="DejaVu Sans Mono" w:hAnsi="DejaVu Sans Mono"/>
          <w:sz w:val="16"/>
        </w:rPr>
        <w:t xml:space="preserve">period_intervals.A.delta_theta_CI</w:t>
      </w:r>
      <w:r>
        <w:t xml:space="preserve"> </w:t>
      </w:r>
      <w:r>
        <w:t xml:space="preserve">and</w:t>
      </w:r>
      <w:r>
        <w:t xml:space="preserve"> </w:t>
      </w:r>
      <w:r>
        <w:rPr>
          <w:rStyle w:val="VerbatimChar"/>
          <w:rFonts w:ascii="DejaVu Sans Mono" w:hAnsi="DejaVu Sans Mono"/>
          <w:sz w:val="16"/>
        </w:rPr>
        <w:t xml:space="preserve">period_intervals.C.delta_theta_CI</w:t>
      </w:r>
      <w:r>
        <w:t xml:space="preserve"> </w:t>
      </w:r>
      <w:r>
        <w:t xml:space="preserve">in</w:t>
      </w:r>
      <w:r>
        <w:t xml:space="preserve"> </w:t>
      </w:r>
      <w:r>
        <w:rPr>
          <w:rStyle w:val="VerbatimChar"/>
          <w:rFonts w:ascii="DejaVu Sans Mono" w:hAnsi="DejaVu Sans Mono"/>
          <w:sz w:val="16"/>
        </w:rPr>
        <w:t xml:space="preserve">support/frozen_extension_results.json</w:t>
      </w:r>
      <w:r>
        <w:t xml:space="preserve">, and equivalently</w:t>
      </w:r>
      <w:r>
        <w:t xml:space="preserve"> </w:t>
      </w:r>
      <w:r>
        <w:rPr>
          <w:rStyle w:val="VerbatimChar"/>
          <w:rFonts w:ascii="DejaVu Sans Mono" w:hAnsi="DejaVu Sans Mono"/>
          <w:sz w:val="16"/>
        </w:rPr>
        <w:t xml:space="preserve">periods.A.delta_theta_CI95</w:t>
      </w:r>
      <w:r>
        <w:t xml:space="preserve"> </w:t>
      </w:r>
      <w:r>
        <w:t xml:space="preserve">and</w:t>
      </w:r>
      <w:r>
        <w:t xml:space="preserve"> </w:t>
      </w:r>
      <w:r>
        <w:rPr>
          <w:rStyle w:val="VerbatimChar"/>
          <w:rFonts w:ascii="DejaVu Sans Mono" w:hAnsi="DejaVu Sans Mono"/>
          <w:sz w:val="16"/>
        </w:rPr>
        <w:t xml:space="preserve">periods.C.delta_theta_CI95</w:t>
      </w:r>
      <w:r>
        <w:t xml:space="preserve"> </w:t>
      </w:r>
      <w:r>
        <w:t xml:space="preserve">in the repository’s</w:t>
      </w:r>
      <w:r>
        <w:t xml:space="preserve"> </w:t>
      </w:r>
      <w:r>
        <w:rPr>
          <w:rStyle w:val="VerbatimChar"/>
          <w:rFonts w:ascii="DejaVu Sans Mono" w:hAnsi="DejaVu Sans Mono"/>
          <w:sz w:val="16"/>
        </w:rPr>
        <w:t xml:space="preserve">KEY_RESULTS.json</w:t>
      </w:r>
      <w:r>
        <w:t xml:space="preserve">. The point differences are 0.2296942521 and 0.2305336591. These are secondary exploratory 95% intervals, not the 97.5% primary slope intervals. Displaying them now does not retrospectively change the extension protocol.</w:t>
      </w:r>
    </w:p>
    <w:p>
      <w:pPr>
        <w:pStyle w:val="BodyText"/>
        <w:widowControl/>
      </w:pPr>
      <w:r>
        <w:t>The earlier display ledgers remain available with their versioned manuscript packages. This version supplies tables/PRICE_DISPLAY_LEDGER.csv and support/AGGREGATE_AUDIT.json for the newly integrated price evidence, together with fixed locators in REPRODUCIBILITY.md. The audit checks public summaries, stored draws and displayed numbers; it does not substitute for private-row refitting or repeat the original source audit.</w:t>
      </w:r>
    </w:p>
    <w:bookmarkEnd w:id="27"/>
    <w:bookmarkStart w:id="28" w:name="X1993b41d14f54416f54e86eb1890684ec329d5a"/>
    <w:p>
      <w:pPr>
        <w:pStyle w:val="Heading3"/>
        <w:widowControl/>
      </w:pPr>
      <w:r>
        <w:t xml:space="preserve">S9 Conditioning-set values accompanying Figure 2</w:t>
      </w:r>
    </w:p>
    <w:p>
      <w:pPr>
        <w:pStyle w:val="FirstParagraph"/>
        <w:keepNext/>
        <w:widowControl/>
        <w:spacing w:after="80"/>
      </w:pPr>
      <w:r>
        <w:rPr>
          <w:b/>
          <w:bCs/>
          <w:sz w:val="21"/>
        </w:rPr>
        <w:t xml:space="preserve">Table S6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Series and year–month effects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0.6243 [0.5596, 0.7067]</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Effects + volume + total bidders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0.6289 [0.5626, 0.7094]</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Full controls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0.6496 [0.5714, 0.7422]</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0.6486 [0.5660, 0.7402]</w:t>
            </w:r>
          </w:p>
        </w:tc>
      </w:tr>
    </w:tbl>
    <w:p>
      <w:pPr>
        <w:pStyle w:val="BodyText"/>
        <w:keepLines/>
        <w:widowControl/>
        <w:spacing w:line="250" w:lineRule="auto" w:after="140"/>
      </w:pPr>
      <w:r>
        <w:rPr>
          <w:i/>
          <w:iCs/>
          <w:sz w:val="19"/>
        </w:rPr>
        <w:t xml:space="preserve">Note:</w:t>
      </w:r>
      <w:r>
        <w:rPr>
          <w:sz w:val="19"/>
        </w:rPr>
        <w:t xml:space="preserve"> </w:t>
      </w:r>
      <w:r>
        <w:rPr>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widowControl/>
      </w:pPr>
      <w:r>
        <w:t xml:space="preserve">The table and Figure 2 use the same frozen values. The full-control row duplicates the principal estimate for orientation; it is not an additional empirical result. Figure 1 uses quartile ranges rather than inferential intervals; Figures 2 and 3 use the explicitly stated exploratory confidence intervals. These three uncertainty or dispersion objects must not be interchanged.</w:t>
      </w:r>
    </w:p>
    <w:bookmarkEnd w:id="28"/>
    <w:bookmarkEnd w:id="29"/>
    <w:bookmarkEnd w:id="30"/>
    <w:p>
      <w:pPr>
        <w:pStyle w:val="Heading3"/>
        <w:widowControl/>
      </w:pPr>
      <w:r>
        <w:t>S10 Composition-standardization protocol and results</w:t>
      </w:r>
    </w:p>
    <w:p>
      <w:pPr>
        <w:pStyle w:val="BodyText"/>
        <w:widowControl/>
      </w:pPr>
      <w:r>
        <w:t>The supplementary protocol was recorded at commit 2151017871416fe0ad2505cfdbda23162aaa873e before the weighted fits, after the historical data and preceding results had been examined. It is not retrospective preregistration. The E1 implementation and outputs are frozen at 89d3ac3beba670838d4b62b1209f6f3412753f19. The original equal-weight estimates and intervals are retained; newly generated unweighted intervals serve paired comparisons within E1 only.</w:t>
      </w:r>
    </w:p>
    <w:p>
      <w:pPr>
        <w:pStyle w:val="BodyText"/>
        <w:widowControl/>
      </w:pPr>
      <w:r>
        <w:t>The period model has 22 columns: an intercept, four standardized log controls, four squares, two nonreference-series indicators and eleven month-of-year indicators. It excludes year and year–month identifiers. Exact selected-term mean balance is a property of the fitted unpenalized logistic overlap weights, not a new empirical finding (Li et al. 2018). It does not authenticate full distributional balance, assignment ignorability or minimum variance for a residual-correlation contrast. The outcome model is re-estimated separately in each half with original year–month effects. Early weights equal e and late weights equal 1−e; resampling multiplies these by row multiplicity.</w:t>
      </w:r>
    </w:p>
    <w:p>
      <w:pPr>
        <w:pStyle w:val="BodyText"/>
        <w:keepNext/>
        <w:widowControl/>
        <w:spacing w:after="80"/>
      </w:pPr>
      <w:r>
        <w:rPr>
          <w:b/>
          <w:sz w:val="21"/>
        </w:rPr>
        <w:t>Table S7 Weighted contrasts and paired changes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680"/>
        <w:gridCol w:w="2438"/>
        <w:gridCol w:w="1134"/>
        <w:gridCol w:w="2494"/>
        <w:gridCol w:w="2551"/>
      </w:tblGrid>
      <w:tr>
        <w:trPr>
          <w:cantSplit/>
          <w:tblHeader/>
        </w:trPr>
        <w:tc>
          <w:tcPr>
            <w:tcW w:type="dxa" w:w="68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243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Contrast</w:t>
            </w:r>
          </w:p>
        </w:tc>
        <w:tc>
          <w:tcPr>
            <w:tcW w:type="dxa" w:w="113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Estimate</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95% interval</w:t>
            </w:r>
          </w:p>
        </w:tc>
        <w:tc>
          <w:tcPr>
            <w:tcW w:type="dxa" w:w="255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[0.1084, 0.2910]</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-0.0326</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[-0.1349, 0.0802]</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[-0.1520, 0.0915]</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[0.0982, 0.2843]</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-0.0368</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[-0.1449, 0.0797]</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[-0.1668, 0.0942]</w:t>
            </w:r>
          </w:p>
        </w:tc>
      </w:tr>
    </w:tbl>
    <w:p>
      <w:pPr>
        <w:pStyle w:val="BodyText"/>
        <w:keepLines/>
        <w:widowControl/>
        <w:spacing w:line="250" w:lineRule="auto" w:after="160"/>
      </w:pPr>
      <w:r>
        <w:rPr>
          <w:sz w:val="19"/>
        </w:rPr>
        <w:t>Note: Change means the overlap-weighted minus equal-weight late-minus-early correlation difference from the same bootstrap draw, not a mediation effect. The 0.10 interpretation reference in the supplementary protocol was introduced after earlier results were known; it is neither a cost threshold nor a journal criterion. The weighted-contrast 97.5% intervals include that reference.</w:t>
      </w:r>
    </w:p>
    <w:p>
      <w:pPr>
        <w:pStyle w:val="BodyText"/>
        <w:keepNext/>
        <w:widowControl/>
        <w:spacing w:after="80"/>
      </w:pPr>
      <w:r>
        <w:rPr>
          <w:b/>
          <w:sz w:val="21"/>
        </w:rPr>
        <w:t>Table S8 Block-length sensitivity of the weighted correlation difference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417"/>
        <w:gridCol w:w="1701"/>
        <w:gridCol w:w="3061"/>
        <w:gridCol w:w="3118"/>
      </w:tblGrid>
      <w:tr>
        <w:trPr>
          <w:cantSplit/>
          <w:tblHeader/>
        </w:trPr>
        <w:tc>
          <w:tcPr>
            <w:tcW w:type="dxa" w:w="1417"/>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Block months</w:t>
            </w:r>
          </w:p>
        </w:tc>
        <w:tc>
          <w:tcPr>
            <w:tcW w:type="dxa" w:w="170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Tuples sampled</w:t>
            </w:r>
          </w:p>
        </w:tc>
        <w:tc>
          <w:tcPr>
            <w:tcW w:type="dxa" w:w="30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 97.5% interval</w:t>
            </w:r>
          </w:p>
        </w:tc>
        <w:tc>
          <w:tcPr>
            <w:tcW w:type="dxa" w:w="311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 97.5% interval</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1</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[0.0991, 0.3018]</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[0.0916, 0.3033]</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3</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999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6</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[0.1049, 0.2881]</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[0.0996, 0.2780]</w:t>
            </w:r>
          </w:p>
        </w:tc>
      </w:tr>
    </w:tbl>
    <w:p>
      <w:pPr>
        <w:pStyle w:val="BodyText"/>
        <w:keepLines/>
        <w:widowControl/>
        <w:spacing w:line="250" w:lineRule="auto" w:after="160"/>
      </w:pPr>
      <w:r>
        <w:rPr>
          <w:sz w:val="19"/>
        </w:rPr>
        <w:t>Note: Both period and outcome models are refitted in every draw. A and C share indices. No failed draw was replaced. Short Monte Carlo runs affect endpoint precision; absence of computational failures does not establish coverage. Weight ESS values of 586.55 and 614.75 are concentration diagnostics, not independent time-sample sizes. Maximum normalized weights are approximately 0.263% and 0.314%. The failed auction-volume distribution diagnostic is shown in main Table 5, not suppressed.</w:t>
      </w:r>
    </w:p>
    <w:p>
      <w:pPr>
        <w:pStyle w:val="Heading3"/>
        <w:widowControl/>
      </w:pPr>
      <w:r>
        <w:t>S11 Additional 2026 sample and finite block sensitivity</w:t>
      </w:r>
    </w:p>
    <w:p>
      <w:pPr>
        <w:pStyle w:val="BodyText"/>
        <w:widowControl/>
      </w:pPr>
      <w:r>
        <w:t>The E3 record reports a download on 10 October 2026 at 13:33:15 UTC; E3R retrieved the same URL at 14:12:19 UTC. Both records identify 72,742 bytes and SHA-256 54e6fb649872d229333adb29b62a3ff5b7fddd7393facc047050fb8f87a1bf3d. E3R rebuilt the January–September eligibility set, excluding seven October rows from 173 dated records and retaining 166 auctions; the point estimates matched E3. This is a repeated implementation on the same snapshot, not an independent market replication, first-release audit or certification of standard-deviation populations.</w:t>
      </w:r>
    </w:p>
    <w:p>
      <w:pPr>
        <w:pStyle w:val="BodyText"/>
        <w:keepNext/>
        <w:widowControl/>
        <w:spacing w:after="80"/>
      </w:pPr>
      <w:r>
        <w:rPr>
          <w:b/>
          <w:sz w:val="21"/>
        </w:rPr>
        <w:t>Table S9 The 2026 association and short-axis diagnostic ranges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4309"/>
        <w:gridCol w:w="2494"/>
        <w:gridCol w:w="2494"/>
      </w:tblGrid>
      <w:tr>
        <w:trPr>
          <w:cantSplit/>
          <w:tblHeader/>
        </w:trPr>
        <w:tc>
          <w:tcPr>
            <w:tcW w:type="dxa" w:w="4309"/>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Quantity / diagnostic</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Slope β</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1.3137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1.2375</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Residual correlation θ</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0.8494</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0.8350</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Original 999-draw θ interval</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[0.8123,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[0.7832,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Non-circular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[0.8094,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[0.7757,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[0.8064, 0.9048]</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[0.7731, 0.9055]</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Leave-one-month-out θ range</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[0.8396, 0.8626]</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[0.8230, 0.8569]</w:t>
            </w:r>
          </w:p>
        </w:tc>
      </w:tr>
    </w:tbl>
    <w:p>
      <w:pPr>
        <w:pStyle w:val="BodyText"/>
        <w:keepLines/>
        <w:widowControl/>
        <w:spacing w:line="250" w:lineRule="auto" w:after="160"/>
      </w:pPr>
      <w:r>
        <w:rPr>
          <w:sz w:val="19"/>
        </w:rPr>
        <w:t>Note: Point estimates and the original 999-draw intervals belong to E3. Finite-enumeration and deletion diagnostics are post-result E3R analyses. The enumeration percentiles are 2.5% and 97.5% quantiles of equally likely ordered block triples with linear interpolation. Deletion ranges are not confidence intervals. All schemes use the same 166 auctions and fixed models; they do not provide independent market replications.</w:t>
      </w:r>
    </w:p>
    <w:p>
      <w:pPr>
        <w:pStyle w:val="BodyText"/>
        <w:widowControl/>
      </w:pPr>
      <w:r>
        <w:t>For non-circular triples, the expected original-month multiplicities are (3,6,9,9,9,9,9,6,3)/7. Endpoint underrepresentation is therefore structural, not eliminated by 999 Monte Carlo draws. The 343 ordered triples yield 84 distinct month-weight vectors. The 729 circular triples yield 163 vectors and unit expected multiplicity for every month; they also connect September to January artificially. Both full finite distributions are retained. No claim is made that the circular scheme is universally more appropriate or that exact enumeration gives exact frequentist coverage.</w:t>
      </w:r>
    </w:p>
    <w:p>
      <w:pPr>
        <w:pStyle w:val="BodyText"/>
        <w:widowControl/>
      </w:pPr>
      <w:r>
        <w:t>E3R records 2,164 primary projection requests and eight explicit-dummy numerical cross-checks, with no failures and maximum implementation difference 4.60×10⁻¹⁴. Its six synthetic checks assess enumeration, multiplicities and projection code. These execution counts are not observations. Complete outputs are at research/eex_integration_checks_20261010/results, commit 35d8c63fc57173f67eb0bd8bb570eb289188324f; they have not been re-estimated for v9.</w:t>
      </w:r>
    </w:p>
    <w:p>
      <w:pPr>
        <w:pStyle w:val="Heading3"/>
        <w:widowControl/>
      </w:pPr>
      <w:r>
        <w:t>S12 German reported-price sources and reproduction boundary</w:t>
      </w:r>
    </w:p>
    <w:p>
      <w:pPr>
        <w:pStyle w:val="BodyText"/>
        <w:widowControl/>
      </w:pPr>
      <w:r>
        <w:t>The completed price study uses the German official-report comparison layer. Source-based matching identified 275 successful auctions in 24 quarters of 2020–2025, with price and quantity links to the EEX archive. The fixed restrictions quarantine 35 observations: 11 from 2022Q4, 11 from 2023Q4 and 12 from 2024Q2 for unresolved reference-footnote mapping, and one from 2025Q1 for a source-date conflict. This leaves 240 observations in 21 quarters, comprising 236 last-best-bid and four last-trade references. The predefined subset without row-level source flags contains 203 observations in 18 quarters. These qualification rules preceded the first price fit.</w:t>
      </w:r>
    </w:p>
    <w:p>
      <w:pPr>
        <w:pStyle w:val="BodyText"/>
        <w:widowControl/>
      </w:pPr>
      <w:r>
        <w:t>Price results and code are fixed at fccd471de96548bd781c59aced4a59435aae08ac under research/eua_local_price_execution_20261011. Descriptions and the targeted source-definition check are fixed at 33707c164c80accd7acf9fcd3f0965088a8370f6 under research/eua_price_description_followup_20261011. The analysis retains signed numeric percentage points, converted to basis points; it does not take the modulus of the source's EUR column merely because it is labelled Absolute. The local source check did not locate an explicit subtraction-and-denominator equation in the examined methods text. No rounded values are inverted to manufacture that definition. The scope is official-reported deviations, with native quote age and UTC event times unauthenticated.</w:t>
      </w:r>
    </w:p>
    <w:p>
      <w:pPr>
        <w:pStyle w:val="BodyText"/>
        <w:widowControl/>
      </w:pPr>
      <w:r>
        <w:t>The official PDFs and event-level price tables remain author-held; public aggregate outputs and code permit review but not an independent row-level refit. A hash alone is not an archive or a data-use permission. This is separate from the 2026 quantity snapshot, whose dynamic EEX URL and required hash are recorded in Section S11 but whose exact bytes are not included in the package. The additional 22 German 2026 price observations were acquired but not fitted, and are distinct from the 166-observation 2026 quantity exercise.</w:t>
      </w:r>
    </w:p>
    <w:p>
      <w:pPr>
        <w:pStyle w:val="Heading3"/>
        <w:pageBreakBefore/>
      </w:pPr>
      <w:r>
        <w:t>S13 Estimands and evidence status</w:t>
      </w:r>
    </w:p>
    <w:p>
      <w:pPr>
        <w:keepNext/>
      </w:pPr>
      <w:r>
        <w:t>Table S10 records the role of each analysis in the research sequence. Different transformations, uncertainty levels and later checks are not interchangeable confirmations. The labels describe recorded analysis roles, not a prospectively registered design.</w:t>
      </w:r>
    </w:p>
    <w:p>
      <w:pPr>
        <w:keepNext/>
      </w:pPr>
      <w:r>
        <w:t>Table S10 Evidence roles and limits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814"/>
        <w:gridCol w:w="2438"/>
        <w:gridCol w:w="2551"/>
        <w:gridCol w:w="2494"/>
      </w:tblGrid>
      <w:tr>
        <w:trPr>
          <w:cantSplit/>
          <w:tblHeader/>
        </w:trPr>
        <w:tc>
          <w:tcPr>
            <w:tcW w:type="dxa" w:w="1814"/>
            <w:vAlign w:val="center"/>
            <w:tcBorders>
              <w:bottom w:val="single" w:sz="4"/>
            </w:tcBorders>
          </w:tcPr>
          <w:p>
            <w:pPr>
              <w:keepNext/>
              <w:spacing w:before="0" w:after="80" w:line="254" w:lineRule="auto"/>
            </w:pPr>
            <w:r>
              <w:rPr>
                <w:rFonts w:ascii="Times New Roman" w:hAnsi="Times New Roman"/>
                <w:b/>
                <w:sz w:val="19"/>
              </w:rPr>
              <w:t>Analysis</w:t>
            </w:r>
          </w:p>
        </w:tc>
        <w:tc>
          <w:tcPr>
            <w:tcW w:type="dxa" w:w="2438"/>
            <w:vAlign w:val="center"/>
            <w:tcBorders>
              <w:bottom w:val="single" w:sz="4"/>
            </w:tcBorders>
          </w:tcPr>
          <w:p>
            <w:pPr>
              <w:keepNext/>
              <w:spacing w:before="0" w:after="80" w:line="254" w:lineRule="auto"/>
            </w:pPr>
            <w:r>
              <w:rPr>
                <w:rFonts w:ascii="Times New Roman" w:hAnsi="Times New Roman"/>
                <w:b/>
                <w:sz w:val="19"/>
              </w:rPr>
              <w:t>Estimand</w:t>
            </w:r>
          </w:p>
        </w:tc>
        <w:tc>
          <w:tcPr>
            <w:tcW w:type="dxa" w:w="2551"/>
            <w:vAlign w:val="center"/>
            <w:tcBorders>
              <w:bottom w:val="single" w:sz="4"/>
            </w:tcBorders>
          </w:tcPr>
          <w:p>
            <w:pPr>
              <w:keepNext/>
              <w:spacing w:before="0" w:after="80" w:line="254" w:lineRule="auto"/>
            </w:pPr>
            <w:r>
              <w:rPr>
                <w:rFonts w:ascii="Times New Roman" w:hAnsi="Times New Roman"/>
                <w:b/>
                <w:sz w:val="19"/>
              </w:rPr>
              <w:t>Uncertainty display</w:t>
            </w:r>
          </w:p>
        </w:tc>
        <w:tc>
          <w:tcPr>
            <w:tcW w:type="dxa" w:w="2494"/>
            <w:vAlign w:val="center"/>
            <w:tcBorders>
              <w:bottom w:val="single" w:sz="4"/>
            </w:tcBorders>
          </w:tcPr>
          <w:p>
            <w:pPr>
              <w:keepNext/>
              <w:spacing w:before="0" w:after="80" w:line="254" w:lineRule="auto"/>
            </w:pPr>
            <w:r>
              <w:rPr>
                <w:rFonts w:ascii="Times New Roman" w:hAnsi="Times New Roman"/>
                <w:b/>
                <w:sz w:val="19"/>
              </w:rPr>
              <w:t>Interpretation</w:t>
            </w:r>
          </w:p>
        </w:tc>
      </w:tr>
      <w:tr>
        <w:trPr>
          <w:cantSplit/>
        </w:trPr>
        <w:tc>
          <w:tcPr>
            <w:tcW w:type="dxa" w:w="1814"/>
            <w:vAlign w:val="center"/>
          </w:tcPr>
          <w:p>
            <w:pPr>
              <w:keepNext/>
              <w:spacing w:before="0" w:after="80" w:line="254" w:lineRule="auto"/>
            </w:pPr>
            <w:r>
              <w:rPr>
                <w:rFonts w:ascii="Times New Roman" w:hAnsi="Times New Roman"/>
                <w:b w:val="0"/>
                <w:sz w:val="19"/>
              </w:rPr>
              <w:t>Historical pooled relation</w:t>
            </w:r>
          </w:p>
        </w:tc>
        <w:tc>
          <w:tcPr>
            <w:tcW w:type="dxa" w:w="2438"/>
            <w:vAlign w:val="center"/>
          </w:tcPr>
          <w:p>
            <w:pPr>
              <w:keepNext/>
              <w:spacing w:before="0" w:after="80" w:line="254" w:lineRule="auto"/>
            </w:pPr>
            <w:r>
              <w:rPr>
                <w:rFonts w:ascii="Times New Roman" w:hAnsi="Times New Roman"/>
                <w:b w:val="0"/>
                <w:sz w:val="19"/>
              </w:rPr>
              <w:t>Slope and residual correlation</w:t>
            </w:r>
          </w:p>
        </w:tc>
        <w:tc>
          <w:tcPr>
            <w:tcW w:type="dxa" w:w="2551"/>
            <w:vAlign w:val="center"/>
          </w:tcPr>
          <w:p>
            <w:pPr>
              <w:keepNext/>
              <w:spacing w:before="0" w:after="80" w:line="254" w:lineRule="auto"/>
            </w:pPr>
            <w:r>
              <w:rPr>
                <w:rFonts w:ascii="Times New Roman" w:hAnsi="Times New Roman"/>
                <w:b w:val="0"/>
                <w:sz w:val="19"/>
              </w:rPr>
              <w:t>Exploratory 95% month-block intervals</w:t>
            </w:r>
          </w:p>
        </w:tc>
        <w:tc>
          <w:tcPr>
            <w:tcW w:type="dxa" w:w="2494"/>
            <w:vAlign w:val="center"/>
          </w:tcPr>
          <w:p>
            <w:pPr>
              <w:keepNext/>
              <w:spacing w:before="0" w:after="80" w:line="254" w:lineRule="auto"/>
            </w:pPr>
            <w:r>
              <w:rPr>
                <w:rFonts w:ascii="Times New Roman" w:hAnsi="Times New Roman"/>
                <w:b w:val="0"/>
                <w:sz w:val="19"/>
              </w:rPr>
              <w:t>Within-sample conditional association</w:t>
            </w:r>
          </w:p>
        </w:tc>
      </w:tr>
      <w:tr>
        <w:trPr>
          <w:cantSplit/>
        </w:trPr>
        <w:tc>
          <w:tcPr>
            <w:tcW w:type="dxa" w:w="1814"/>
            <w:vAlign w:val="center"/>
          </w:tcPr>
          <w:p>
            <w:pPr>
              <w:keepNext/>
              <w:spacing w:before="0" w:after="80" w:line="254" w:lineRule="auto"/>
            </w:pPr>
            <w:r>
              <w:rPr>
                <w:rFonts w:ascii="Times New Roman" w:hAnsi="Times New Roman"/>
                <w:b w:val="0"/>
                <w:sz w:val="19"/>
              </w:rPr>
              <w:t>Historical period contrast</w:t>
            </w:r>
          </w:p>
        </w:tc>
        <w:tc>
          <w:tcPr>
            <w:tcW w:type="dxa" w:w="2438"/>
            <w:vAlign w:val="center"/>
          </w:tcPr>
          <w:p>
            <w:pPr>
              <w:keepNext/>
              <w:spacing w:before="0" w:after="80" w:line="254" w:lineRule="auto"/>
            </w:pPr>
            <w:r>
              <w:rPr>
                <w:rFonts w:ascii="Times New Roman" w:hAnsi="Times New Roman"/>
                <w:b w:val="0"/>
                <w:sz w:val="19"/>
              </w:rPr>
              <w:t>Primary slope difference; secondary correlation difference</w:t>
            </w:r>
          </w:p>
        </w:tc>
        <w:tc>
          <w:tcPr>
            <w:tcW w:type="dxa" w:w="2551"/>
            <w:vAlign w:val="center"/>
          </w:tcPr>
          <w:p>
            <w:pPr>
              <w:keepNext/>
              <w:spacing w:before="0" w:after="80" w:line="254" w:lineRule="auto"/>
            </w:pPr>
            <w:r>
              <w:rPr>
                <w:rFonts w:ascii="Times New Roman" w:hAnsi="Times New Roman"/>
                <w:b w:val="0"/>
                <w:sz w:val="19"/>
              </w:rPr>
              <w:t>97.5% slope intervals; 95% correlation intervals</w:t>
            </w:r>
          </w:p>
        </w:tc>
        <w:tc>
          <w:tcPr>
            <w:tcW w:type="dxa" w:w="2494"/>
            <w:vAlign w:val="center"/>
          </w:tcPr>
          <w:p>
            <w:pPr>
              <w:keepNext/>
              <w:spacing w:before="0" w:after="80" w:line="254" w:lineRule="auto"/>
            </w:pPr>
            <w:r>
              <w:rPr>
                <w:rFonts w:ascii="Times New Roman" w:hAnsi="Times New Roman"/>
                <w:b w:val="0"/>
                <w:sz w:val="19"/>
              </w:rPr>
              <w:t>Separate estimands; neither proves policy causality</w:t>
            </w:r>
          </w:p>
        </w:tc>
      </w:tr>
      <w:tr>
        <w:trPr>
          <w:cantSplit/>
        </w:trPr>
        <w:tc>
          <w:tcPr>
            <w:tcW w:type="dxa" w:w="1814"/>
            <w:vAlign w:val="center"/>
          </w:tcPr>
          <w:p>
            <w:pPr>
              <w:keepNext/>
              <w:spacing w:before="0" w:after="80" w:line="254" w:lineRule="auto"/>
            </w:pPr>
            <w:r>
              <w:rPr>
                <w:rFonts w:ascii="Times New Roman" w:hAnsi="Times New Roman"/>
                <w:b w:val="0"/>
                <w:sz w:val="19"/>
              </w:rPr>
              <w:t>Composition sensitivity</w:t>
            </w:r>
          </w:p>
        </w:tc>
        <w:tc>
          <w:tcPr>
            <w:tcW w:type="dxa" w:w="2438"/>
            <w:vAlign w:val="center"/>
          </w:tcPr>
          <w:p>
            <w:pPr>
              <w:keepNext/>
              <w:spacing w:before="0" w:after="80" w:line="254" w:lineRule="auto"/>
            </w:pPr>
            <w:r>
              <w:rPr>
                <w:rFonts w:ascii="Times New Roman" w:hAnsi="Times New Roman"/>
                <w:b w:val="0"/>
                <w:sz w:val="19"/>
              </w:rPr>
              <w:t>Weighted correlation difference</w:t>
            </w:r>
          </w:p>
        </w:tc>
        <w:tc>
          <w:tcPr>
            <w:tcW w:type="dxa" w:w="2551"/>
            <w:vAlign w:val="center"/>
          </w:tcPr>
          <w:p>
            <w:pPr>
              <w:keepNext/>
              <w:spacing w:before="0" w:after="80" w:line="254" w:lineRule="auto"/>
            </w:pPr>
            <w:r>
              <w:rPr>
                <w:rFonts w:ascii="Times New Roman" w:hAnsi="Times New Roman"/>
                <w:b w:val="0"/>
                <w:sz w:val="19"/>
              </w:rPr>
              <w:t>Exploratory 97.5% intervals; 95% paired-change intervals</w:t>
            </w:r>
          </w:p>
        </w:tc>
        <w:tc>
          <w:tcPr>
            <w:tcW w:type="dxa" w:w="2494"/>
            <w:vAlign w:val="center"/>
          </w:tcPr>
          <w:p>
            <w:pPr>
              <w:keepNext/>
              <w:spacing w:before="0" w:after="80" w:line="254" w:lineRule="auto"/>
            </w:pPr>
            <w:r>
              <w:rPr>
                <w:rFonts w:ascii="Times New Roman" w:hAnsi="Times New Roman"/>
                <w:b w:val="0"/>
                <w:sz w:val="19"/>
              </w:rPr>
              <w:t>Selected-moment comparison; incomplete volume-distribution balance</w:t>
            </w:r>
          </w:p>
        </w:tc>
      </w:tr>
      <w:tr>
        <w:trPr>
          <w:cantSplit/>
        </w:trPr>
        <w:tc>
          <w:tcPr>
            <w:tcW w:type="dxa" w:w="1814"/>
            <w:vAlign w:val="center"/>
          </w:tcPr>
          <w:p>
            <w:pPr>
              <w:keepNext/>
              <w:spacing w:before="0" w:after="80" w:line="254" w:lineRule="auto"/>
            </w:pPr>
            <w:r>
              <w:rPr>
                <w:rFonts w:ascii="Times New Roman" w:hAnsi="Times New Roman"/>
                <w:b w:val="0"/>
                <w:sz w:val="19"/>
              </w:rPr>
              <w:t>Additional 2026 period</w:t>
            </w:r>
          </w:p>
        </w:tc>
        <w:tc>
          <w:tcPr>
            <w:tcW w:type="dxa" w:w="2438"/>
            <w:vAlign w:val="center"/>
          </w:tcPr>
          <w:p>
            <w:pPr>
              <w:keepNext/>
              <w:spacing w:before="0" w:after="80" w:line="254" w:lineRule="auto"/>
            </w:pPr>
            <w:r>
              <w:rPr>
                <w:rFonts w:ascii="Times New Roman" w:hAnsi="Times New Roman"/>
                <w:b w:val="0"/>
                <w:sz w:val="19"/>
              </w:rPr>
              <w:t>Re-estimated slope and correlation</w:t>
            </w:r>
          </w:p>
        </w:tc>
        <w:tc>
          <w:tcPr>
            <w:tcW w:type="dxa" w:w="2551"/>
            <w:vAlign w:val="center"/>
          </w:tcPr>
          <w:p>
            <w:pPr>
              <w:keepNext/>
              <w:spacing w:before="0" w:after="80" w:line="254" w:lineRule="auto"/>
            </w:pPr>
            <w:r>
              <w:rPr>
                <w:rFonts w:ascii="Times New Roman" w:hAnsi="Times New Roman"/>
                <w:b w:val="0"/>
                <w:sz w:val="19"/>
              </w:rPr>
              <w:t>Nine-month diagnostics; finite percentile and deletion ranges</w:t>
            </w:r>
          </w:p>
        </w:tc>
        <w:tc>
          <w:tcPr>
            <w:tcW w:type="dxa" w:w="2494"/>
            <w:vAlign w:val="center"/>
          </w:tcPr>
          <w:p>
            <w:pPr>
              <w:keepNext/>
              <w:spacing w:before="0" w:after="80" w:line="254" w:lineRule="auto"/>
            </w:pPr>
            <w:r>
              <w:rPr>
                <w:rFonts w:ascii="Times New Roman" w:hAnsi="Times New Roman"/>
                <w:b w:val="0"/>
                <w:sz w:val="19"/>
              </w:rPr>
              <w:t>New-time description, not a frozen-model forecast</w:t>
            </w:r>
          </w:p>
        </w:tc>
      </w:tr>
      <w:tr>
        <w:trPr>
          <w:cantSplit/>
        </w:trPr>
        <w:tc>
          <w:tcPr>
            <w:tcW w:type="dxa" w:w="1814"/>
            <w:vAlign w:val="center"/>
          </w:tcPr>
          <w:p>
            <w:pPr>
              <w:keepNext/>
              <w:spacing w:before="0" w:after="80" w:line="254" w:lineRule="auto"/>
            </w:pPr>
            <w:r>
              <w:rPr>
                <w:sz w:val="18"/>
              </w:rPr>
              <w:t>German reported-price relation</w:t>
            </w:r>
          </w:p>
        </w:tc>
        <w:tc>
          <w:tcPr>
            <w:tcW w:type="dxa" w:w="2438"/>
            <w:vAlign w:val="center"/>
          </w:tcPr>
          <w:p>
            <w:pPr>
              <w:keepNext/>
              <w:spacing w:before="0" w:after="80" w:line="254" w:lineRule="auto"/>
            </w:pPr>
            <w:r>
              <w:rPr>
                <w:sz w:val="18"/>
              </w:rPr>
              <w:t>Signed-deviation coefficient and fitted interquartile contrast</w:t>
            </w:r>
          </w:p>
        </w:tc>
        <w:tc>
          <w:tcPr>
            <w:tcW w:type="dxa" w:w="2551"/>
            <w:vAlign w:val="center"/>
          </w:tcPr>
          <w:p>
            <w:pPr>
              <w:keepNext/>
              <w:spacing w:before="0" w:after="80" w:line="254" w:lineRule="auto"/>
            </w:pPr>
            <w:r>
              <w:rPr>
                <w:sz w:val="18"/>
              </w:rPr>
              <w:t>CR1-t and CV3J intervals; one restricted wild-cluster test</w:t>
            </w:r>
          </w:p>
        </w:tc>
        <w:tc>
          <w:tcPr>
            <w:tcW w:type="dxa" w:w="2494"/>
            <w:vAlign w:val="center"/>
          </w:tcPr>
          <w:p>
            <w:pPr>
              <w:keepNext/>
              <w:spacing w:before="0" w:after="80" w:line="254" w:lineRule="auto"/>
            </w:pPr>
            <w:r>
              <w:rPr>
                <w:sz w:val="18"/>
              </w:rPr>
              <w:t>Completed matched-subsample conditional analysis, not causal or predictive validation</w:t>
            </w:r>
          </w:p>
        </w:tc>
      </w:tr>
    </w:tbl>
    <w:p>
      <w:pPr>
        <w:keepLines/>
      </w:pPr>
      <w:r>
        <w:t>Note: The price study has been completed and is documented below. Its one primary signed-outcome test and three secondary specifications are not confirmatory replications. No interval family adjusts the entire historical research process. Exact short-axis enumeration in the separate quantity extension does not imply exact repeated-sample coverage.</w:t>
      </w:r>
    </w:p>
    <w:p>
      <w:pPr>
        <w:pStyle w:val="Heading3"/>
        <w:keepNext/>
      </w:pPr>
      <w:r>
        <w:t>S14 Price estimand, conditioning set and descriptive context</w:t>
      </w:r>
    </w:p>
    <w:p>
      <w:pPr>
        <w:pStyle w:val="FirstParagraph"/>
      </w:pPr>
      <w:r>
        <w:t>The response is the official signed numeric percentage-point field multiplied by 100. Printed zero is retained at source precision; it is not a no-trade indicator or certification of identical unrounded prices. The focal covariate is log(1 + reported bid SD / reported bid mean). The fixed baseline contains an intercept, log auction volume, log total and successful bidder counts, log reported cover ratio, the submitted-price maximum minus minimum in EUR, log same-auction clearing price, observed-year indicators, and a last-trade indicator when it varies. The extended model adds only the focal covariate on the same rows. The primary matrix has rank 14 with 226 residual degrees of freedom. The 236-row best-bid model omits its constant reference indicator and has rank 13. The one-sided nature of a best bid, and the fact that reference prices are not midpoints, restrict the interpretation.</w:t>
      </w:r>
    </w:p>
    <w:p>
      <w:pPr>
        <w:pStyle w:val="FirstParagraph"/>
      </w:pPr>
      <w:r>
        <w:t>The source file for prices contains total bid volume B, not the reported cover-ratio field R. Eight shared quantities are cross-checked against the original annual EEX files. R is obtained directly from those original workbooks rather than replaced by B/V. No raw SD of awards is added to the price model, and no bid-to-award-to-price mediation relation is estimated.</w:t>
      </w:r>
    </w:p>
    <w:p>
      <w:pPr>
        <w:pStyle w:val="FirstParagraph"/>
        <w:keepNext/>
        <w:spacing w:before="160" w:after="80"/>
      </w:pPr>
      <w:r>
        <w:rPr>
          <w:b/>
        </w:rPr>
        <w:t>Table S11 Reported price-deviation descriptions in the three fixed samples</w:t>
      </w:r>
    </w:p>
    <w:p>
      <w:pPr>
        <w:pStyle w:val="FirstParagraph"/>
      </w:pPr>
      <w:r>
        <w:t>Panel A: Signed deviations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1656"/>
        <w:gridCol w:w="864"/>
        <w:gridCol w:w="864"/>
        <w:gridCol w:w="864"/>
        <w:gridCol w:w="1800"/>
        <w:gridCol w:w="1872"/>
        <w:gridCol w:w="1080"/>
      </w:tblGrid>
      <w:tr>
        <w:trPr>
          <w:tblHeader w:val="true"/>
          <w:cantSplit/>
        </w:trPr>
        <w:tc>
          <w:tcPr>
            <w:tcW w:type="dxa" w:w="1656"/>
            <w:vAlign w:val="center"/>
            <w:tcBorders>
              <w:bottom w:val="single" w:sz="6"/>
            </w:tcBorders>
          </w:tcPr>
          <w:p>
            <w:pPr>
              <w:keepNext/>
              <w:spacing w:before="60" w:after="60" w:line="240" w:lineRule="auto"/>
              <w:jc w:val="left"/>
            </w:pPr>
            <w:r>
              <w:rPr>
                <w:rFonts w:ascii="Times New Roman" w:hAnsi="Times New Roman"/>
                <w:b/>
                <w:sz w:val="18"/>
              </w:rPr>
              <w:t>Sample</w:t>
            </w:r>
          </w:p>
        </w:tc>
        <w:tc>
          <w:tcPr>
            <w:tcW w:type="dxa" w:w="864"/>
            <w:vAlign w:val="center"/>
            <w:tcBorders>
              <w:bottom w:val="single" w:sz="6"/>
            </w:tcBorders>
          </w:tcPr>
          <w:p>
            <w:pPr>
              <w:keepNext/>
              <w:spacing w:before="60" w:after="60" w:line="240" w:lineRule="auto"/>
              <w:jc w:val="right"/>
            </w:pPr>
            <w:r>
              <w:rPr>
                <w:rFonts w:ascii="Times New Roman" w:hAnsi="Times New Roman"/>
                <w:b/>
                <w:sz w:val="18"/>
              </w:rPr>
              <w:t>n / G</w:t>
            </w:r>
          </w:p>
        </w:tc>
        <w:tc>
          <w:tcPr>
            <w:tcW w:type="dxa" w:w="864"/>
            <w:vAlign w:val="center"/>
            <w:tcBorders>
              <w:bottom w:val="single" w:sz="6"/>
            </w:tcBorders>
          </w:tcPr>
          <w:p>
            <w:pPr>
              <w:keepNext/>
              <w:spacing w:before="60" w:after="60" w:line="240" w:lineRule="auto"/>
              <w:jc w:val="right"/>
            </w:pPr>
            <w:r>
              <w:rPr>
                <w:rFonts w:ascii="Times New Roman" w:hAnsi="Times New Roman"/>
                <w:b/>
                <w:sz w:val="18"/>
              </w:rPr>
              <w:t>Mean</w:t>
            </w:r>
          </w:p>
        </w:tc>
        <w:tc>
          <w:tcPr>
            <w:tcW w:type="dxa" w:w="864"/>
            <w:vAlign w:val="center"/>
            <w:tcBorders>
              <w:bottom w:val="single" w:sz="6"/>
            </w:tcBorders>
          </w:tcPr>
          <w:p>
            <w:pPr>
              <w:keepNext/>
              <w:spacing w:before="60" w:after="60" w:line="240" w:lineRule="auto"/>
              <w:jc w:val="right"/>
            </w:pPr>
            <w:r>
              <w:rPr>
                <w:rFonts w:ascii="Times New Roman" w:hAnsi="Times New Roman"/>
                <w:b/>
                <w:sz w:val="18"/>
              </w:rPr>
              <w:t>Median</w:t>
            </w:r>
          </w:p>
        </w:tc>
        <w:tc>
          <w:tcPr>
            <w:tcW w:type="dxa" w:w="1800"/>
            <w:vAlign w:val="center"/>
            <w:tcBorders>
              <w:bottom w:val="single" w:sz="6"/>
            </w:tcBorders>
          </w:tcPr>
          <w:p>
            <w:pPr>
              <w:keepNext/>
              <w:spacing w:before="60" w:after="60" w:line="240" w:lineRule="auto"/>
              <w:jc w:val="right"/>
            </w:pPr>
            <w:r>
              <w:rPr>
                <w:rFonts w:ascii="Times New Roman" w:hAnsi="Times New Roman"/>
                <w:b/>
                <w:sz w:val="18"/>
              </w:rPr>
              <w:t>Q1–Q3</w:t>
            </w:r>
          </w:p>
        </w:tc>
        <w:tc>
          <w:tcPr>
            <w:tcW w:type="dxa" w:w="1872"/>
            <w:vAlign w:val="center"/>
            <w:tcBorders>
              <w:bottom w:val="single" w:sz="6"/>
            </w:tcBorders>
          </w:tcPr>
          <w:p>
            <w:pPr>
              <w:keepNext/>
              <w:spacing w:before="60" w:after="60" w:line="240" w:lineRule="auto"/>
              <w:jc w:val="right"/>
            </w:pPr>
            <w:r>
              <w:rPr>
                <w:rFonts w:ascii="Times New Roman" w:hAnsi="Times New Roman"/>
                <w:b/>
                <w:sz w:val="18"/>
              </w:rPr>
              <w:t>Range</w:t>
            </w:r>
          </w:p>
        </w:tc>
        <w:tc>
          <w:tcPr>
            <w:tcW w:type="dxa" w:w="1080"/>
            <w:vAlign w:val="center"/>
            <w:tcBorders>
              <w:bottom w:val="single" w:sz="6"/>
            </w:tcBorders>
          </w:tcPr>
          <w:p>
            <w:pPr>
              <w:keepNext/>
              <w:spacing w:before="60" w:after="60" w:line="240" w:lineRule="auto"/>
              <w:jc w:val="right"/>
            </w:pPr>
            <w:r>
              <w:rPr>
                <w:rFonts w:ascii="Times New Roman" w:hAnsi="Times New Roman"/>
                <w:b/>
                <w:sz w:val="18"/>
              </w:rPr>
              <w:t>SD</w:t>
            </w:r>
          </w:p>
        </w:tc>
      </w:tr>
      <w:tr>
        <w:trPr>
          <w:cantSplit/>
        </w:trPr>
        <w:tc>
          <w:tcPr>
            <w:tcW w:type="dxa" w:w="1656"/>
            <w:vAlign w:val="center"/>
          </w:tcPr>
          <w:p>
            <w:pPr>
              <w:spacing w:before="60" w:after="60" w:line="240" w:lineRule="auto"/>
              <w:jc w:val="left"/>
            </w:pPr>
            <w:r>
              <w:rPr>
                <w:rFonts w:ascii="Times New Roman" w:hAnsi="Times New Roman"/>
                <w:sz w:val="18"/>
              </w:rPr>
              <w:t>Primary</w:t>
            </w:r>
          </w:p>
        </w:tc>
        <w:tc>
          <w:tcPr>
            <w:tcW w:type="dxa" w:w="864"/>
            <w:vAlign w:val="center"/>
          </w:tcPr>
          <w:p>
            <w:pPr>
              <w:spacing w:before="60" w:after="60" w:line="240" w:lineRule="auto"/>
              <w:jc w:val="right"/>
            </w:pPr>
            <w:r>
              <w:rPr>
                <w:rFonts w:ascii="Times New Roman" w:hAnsi="Times New Roman"/>
                <w:sz w:val="18"/>
              </w:rPr>
              <w:t>240 / 21</w:t>
            </w:r>
          </w:p>
        </w:tc>
        <w:tc>
          <w:tcPr>
            <w:tcW w:type="dxa" w:w="864"/>
            <w:vAlign w:val="center"/>
          </w:tcPr>
          <w:p>
            <w:pPr>
              <w:spacing w:before="60" w:after="60" w:line="240" w:lineRule="auto"/>
              <w:jc w:val="right"/>
            </w:pPr>
            <w:r>
              <w:rPr>
                <w:rFonts w:ascii="Times New Roman" w:hAnsi="Times New Roman"/>
                <w:sz w:val="18"/>
              </w:rPr>
              <w:t>−2.80</w:t>
            </w:r>
          </w:p>
        </w:tc>
        <w:tc>
          <w:tcPr>
            <w:tcW w:type="dxa" w:w="864"/>
            <w:vAlign w:val="center"/>
          </w:tcPr>
          <w:p>
            <w:pPr>
              <w:spacing w:before="60" w:after="60" w:line="240" w:lineRule="auto"/>
              <w:jc w:val="right"/>
            </w:pPr>
            <w:r>
              <w:rPr>
                <w:rFonts w:ascii="Times New Roman" w:hAnsi="Times New Roman"/>
                <w:sz w:val="18"/>
              </w:rPr>
              <w:t>−7.00</w:t>
            </w:r>
          </w:p>
        </w:tc>
        <w:tc>
          <w:tcPr>
            <w:tcW w:type="dxa" w:w="1800"/>
            <w:vAlign w:val="center"/>
          </w:tcPr>
          <w:p>
            <w:pPr>
              <w:spacing w:before="60" w:after="60" w:line="240" w:lineRule="auto"/>
              <w:jc w:val="right"/>
            </w:pPr>
            <w:r>
              <w:rPr>
                <w:rFonts w:ascii="Times New Roman" w:hAnsi="Times New Roman"/>
                <w:sz w:val="18"/>
              </w:rPr>
              <w:t>[−29.00, 17.25]</w:t>
            </w:r>
          </w:p>
        </w:tc>
        <w:tc>
          <w:tcPr>
            <w:tcW w:type="dxa" w:w="1872"/>
            <w:vAlign w:val="center"/>
          </w:tcPr>
          <w:p>
            <w:pPr>
              <w:spacing w:before="60" w:after="60" w:line="240" w:lineRule="auto"/>
              <w:jc w:val="right"/>
            </w:pPr>
            <w:r>
              <w:rPr>
                <w:rFonts w:ascii="Times New Roman" w:hAnsi="Times New Roman"/>
                <w:sz w:val="18"/>
              </w:rPr>
              <w:t>[−174.00, 171.00]</w:t>
            </w:r>
          </w:p>
        </w:tc>
        <w:tc>
          <w:tcPr>
            <w:tcW w:type="dxa" w:w="1080"/>
            <w:vAlign w:val="center"/>
          </w:tcPr>
          <w:p>
            <w:pPr>
              <w:spacing w:before="60" w:after="60" w:line="240" w:lineRule="auto"/>
              <w:jc w:val="right"/>
            </w:pPr>
            <w:r>
              <w:rPr>
                <w:rFonts w:ascii="Times New Roman" w:hAnsi="Times New Roman"/>
                <w:sz w:val="18"/>
              </w:rPr>
              <w:t>46.34</w:t>
            </w:r>
          </w:p>
        </w:tc>
      </w:tr>
      <w:tr>
        <w:trPr>
          <w:cantSplit/>
        </w:trPr>
        <w:tc>
          <w:tcPr>
            <w:tcW w:type="dxa" w:w="1656"/>
            <w:vAlign w:val="center"/>
          </w:tcPr>
          <w:p>
            <w:pPr>
              <w:spacing w:before="60" w:after="60" w:line="240" w:lineRule="auto"/>
              <w:jc w:val="left"/>
            </w:pPr>
            <w:r>
              <w:rPr>
                <w:rFonts w:ascii="Times New Roman" w:hAnsi="Times New Roman"/>
                <w:sz w:val="18"/>
              </w:rPr>
              <w:t>No row flags</w:t>
            </w:r>
          </w:p>
        </w:tc>
        <w:tc>
          <w:tcPr>
            <w:tcW w:type="dxa" w:w="864"/>
            <w:vAlign w:val="center"/>
          </w:tcPr>
          <w:p>
            <w:pPr>
              <w:spacing w:before="60" w:after="60" w:line="240" w:lineRule="auto"/>
              <w:jc w:val="right"/>
            </w:pPr>
            <w:r>
              <w:rPr>
                <w:rFonts w:ascii="Times New Roman" w:hAnsi="Times New Roman"/>
                <w:sz w:val="18"/>
              </w:rPr>
              <w:t>203 / 18</w:t>
            </w:r>
          </w:p>
        </w:tc>
        <w:tc>
          <w:tcPr>
            <w:tcW w:type="dxa" w:w="864"/>
            <w:vAlign w:val="center"/>
          </w:tcPr>
          <w:p>
            <w:pPr>
              <w:spacing w:before="60" w:after="60" w:line="240" w:lineRule="auto"/>
              <w:jc w:val="right"/>
            </w:pPr>
            <w:r>
              <w:rPr>
                <w:rFonts w:ascii="Times New Roman" w:hAnsi="Times New Roman"/>
                <w:sz w:val="18"/>
              </w:rPr>
              <w:t>−2.79</w:t>
            </w:r>
          </w:p>
        </w:tc>
        <w:tc>
          <w:tcPr>
            <w:tcW w:type="dxa" w:w="864"/>
            <w:vAlign w:val="center"/>
          </w:tcPr>
          <w:p>
            <w:pPr>
              <w:spacing w:before="60" w:after="60" w:line="240" w:lineRule="auto"/>
              <w:jc w:val="right"/>
            </w:pPr>
            <w:r>
              <w:rPr>
                <w:rFonts w:ascii="Times New Roman" w:hAnsi="Times New Roman"/>
                <w:sz w:val="18"/>
              </w:rPr>
              <w:t>−5.00</w:t>
            </w:r>
          </w:p>
        </w:tc>
        <w:tc>
          <w:tcPr>
            <w:tcW w:type="dxa" w:w="1800"/>
            <w:vAlign w:val="center"/>
          </w:tcPr>
          <w:p>
            <w:pPr>
              <w:spacing w:before="60" w:after="60" w:line="240" w:lineRule="auto"/>
              <w:jc w:val="right"/>
            </w:pPr>
            <w:r>
              <w:rPr>
                <w:rFonts w:ascii="Times New Roman" w:hAnsi="Times New Roman"/>
                <w:sz w:val="18"/>
              </w:rPr>
              <w:t>[−27.00, 15.50]</w:t>
            </w:r>
          </w:p>
        </w:tc>
        <w:tc>
          <w:tcPr>
            <w:tcW w:type="dxa" w:w="1872"/>
            <w:vAlign w:val="center"/>
          </w:tcPr>
          <w:p>
            <w:pPr>
              <w:spacing w:before="60" w:after="60" w:line="240" w:lineRule="auto"/>
              <w:jc w:val="right"/>
            </w:pPr>
            <w:r>
              <w:rPr>
                <w:rFonts w:ascii="Times New Roman" w:hAnsi="Times New Roman"/>
                <w:sz w:val="18"/>
              </w:rPr>
              <w:t>[−174.00, 153.00]</w:t>
            </w:r>
          </w:p>
        </w:tc>
        <w:tc>
          <w:tcPr>
            <w:tcW w:type="dxa" w:w="1080"/>
            <w:vAlign w:val="center"/>
          </w:tcPr>
          <w:p>
            <w:pPr>
              <w:spacing w:before="60" w:after="60" w:line="240" w:lineRule="auto"/>
              <w:jc w:val="right"/>
            </w:pPr>
            <w:r>
              <w:rPr>
                <w:rFonts w:ascii="Times New Roman" w:hAnsi="Times New Roman"/>
                <w:sz w:val="18"/>
              </w:rPr>
              <w:t>43.23</w:t>
            </w:r>
          </w:p>
        </w:tc>
      </w:tr>
      <w:tr>
        <w:trPr>
          <w:cantSplit/>
        </w:trPr>
        <w:tc>
          <w:tcPr>
            <w:tcW w:type="dxa" w:w="1656"/>
            <w:vAlign w:val="center"/>
          </w:tcPr>
          <w:p>
            <w:pPr>
              <w:spacing w:before="60" w:after="60" w:line="240" w:lineRule="auto"/>
              <w:jc w:val="left"/>
            </w:pPr>
            <w:r>
              <w:rPr>
                <w:rFonts w:ascii="Times New Roman" w:hAnsi="Times New Roman"/>
                <w:sz w:val="18"/>
              </w:rPr>
              <w:t>Best bid only</w:t>
            </w:r>
          </w:p>
        </w:tc>
        <w:tc>
          <w:tcPr>
            <w:tcW w:type="dxa" w:w="864"/>
            <w:vAlign w:val="center"/>
          </w:tcPr>
          <w:p>
            <w:pPr>
              <w:spacing w:before="60" w:after="60" w:line="240" w:lineRule="auto"/>
              <w:jc w:val="right"/>
            </w:pPr>
            <w:r>
              <w:rPr>
                <w:rFonts w:ascii="Times New Roman" w:hAnsi="Times New Roman"/>
                <w:sz w:val="18"/>
              </w:rPr>
              <w:t>236 / 21</w:t>
            </w:r>
          </w:p>
        </w:tc>
        <w:tc>
          <w:tcPr>
            <w:tcW w:type="dxa" w:w="864"/>
            <w:vAlign w:val="center"/>
          </w:tcPr>
          <w:p>
            <w:pPr>
              <w:spacing w:before="60" w:after="60" w:line="240" w:lineRule="auto"/>
              <w:jc w:val="right"/>
            </w:pPr>
            <w:r>
              <w:rPr>
                <w:rFonts w:ascii="Times New Roman" w:hAnsi="Times New Roman"/>
                <w:sz w:val="18"/>
              </w:rPr>
              <w:t>−2.14</w:t>
            </w:r>
          </w:p>
        </w:tc>
        <w:tc>
          <w:tcPr>
            <w:tcW w:type="dxa" w:w="864"/>
            <w:vAlign w:val="center"/>
          </w:tcPr>
          <w:p>
            <w:pPr>
              <w:spacing w:before="60" w:after="60" w:line="240" w:lineRule="auto"/>
              <w:jc w:val="right"/>
            </w:pPr>
            <w:r>
              <w:rPr>
                <w:rFonts w:ascii="Times New Roman" w:hAnsi="Times New Roman"/>
                <w:sz w:val="18"/>
              </w:rPr>
              <w:t>−7.00</w:t>
            </w:r>
          </w:p>
        </w:tc>
        <w:tc>
          <w:tcPr>
            <w:tcW w:type="dxa" w:w="1800"/>
            <w:vAlign w:val="center"/>
          </w:tcPr>
          <w:p>
            <w:pPr>
              <w:spacing w:before="60" w:after="60" w:line="240" w:lineRule="auto"/>
              <w:jc w:val="right"/>
            </w:pPr>
            <w:r>
              <w:rPr>
                <w:rFonts w:ascii="Times New Roman" w:hAnsi="Times New Roman"/>
                <w:sz w:val="18"/>
              </w:rPr>
              <w:t>[−29.00, 18.00]</w:t>
            </w:r>
          </w:p>
        </w:tc>
        <w:tc>
          <w:tcPr>
            <w:tcW w:type="dxa" w:w="1872"/>
            <w:vAlign w:val="center"/>
          </w:tcPr>
          <w:p>
            <w:pPr>
              <w:spacing w:before="60" w:after="60" w:line="240" w:lineRule="auto"/>
              <w:jc w:val="right"/>
            </w:pPr>
            <w:r>
              <w:rPr>
                <w:rFonts w:ascii="Times New Roman" w:hAnsi="Times New Roman"/>
                <w:sz w:val="18"/>
              </w:rPr>
              <w:t>[−174.00, 171.00]</w:t>
            </w:r>
          </w:p>
        </w:tc>
        <w:tc>
          <w:tcPr>
            <w:tcW w:type="dxa" w:w="1080"/>
            <w:vAlign w:val="center"/>
          </w:tcPr>
          <w:p>
            <w:pPr>
              <w:spacing w:before="60" w:after="60" w:line="240" w:lineRule="auto"/>
              <w:jc w:val="right"/>
            </w:pPr>
            <w:r>
              <w:rPr>
                <w:rFonts w:ascii="Times New Roman" w:hAnsi="Times New Roman"/>
                <w:sz w:val="18"/>
              </w:rPr>
              <w:t>46.19</w:t>
            </w:r>
          </w:p>
        </w:tc>
      </w:tr>
    </w:tbl>
    <w:p>
      <w:pPr>
        <w:pStyle w:val="FirstParagraph"/>
      </w:pPr>
      <w:r>
        <w:t>Panel B: Absolute deviations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1656"/>
        <w:gridCol w:w="864"/>
        <w:gridCol w:w="864"/>
        <w:gridCol w:w="864"/>
        <w:gridCol w:w="1800"/>
        <w:gridCol w:w="1872"/>
        <w:gridCol w:w="1080"/>
      </w:tblGrid>
      <w:tr>
        <w:trPr>
          <w:tblHeader w:val="true"/>
          <w:cantSplit/>
        </w:trPr>
        <w:tc>
          <w:tcPr>
            <w:tcW w:type="dxa" w:w="1656"/>
            <w:vAlign w:val="center"/>
            <w:tcBorders>
              <w:bottom w:val="single" w:sz="6"/>
            </w:tcBorders>
          </w:tcPr>
          <w:p>
            <w:pPr>
              <w:keepNext/>
              <w:spacing w:before="60" w:after="60" w:line="240" w:lineRule="auto"/>
              <w:jc w:val="left"/>
            </w:pPr>
            <w:r>
              <w:rPr>
                <w:rFonts w:ascii="Times New Roman" w:hAnsi="Times New Roman"/>
                <w:b/>
                <w:sz w:val="18"/>
              </w:rPr>
              <w:t>Sample</w:t>
            </w:r>
          </w:p>
        </w:tc>
        <w:tc>
          <w:tcPr>
            <w:tcW w:type="dxa" w:w="864"/>
            <w:vAlign w:val="center"/>
            <w:tcBorders>
              <w:bottom w:val="single" w:sz="6"/>
            </w:tcBorders>
          </w:tcPr>
          <w:p>
            <w:pPr>
              <w:keepNext/>
              <w:spacing w:before="60" w:after="60" w:line="240" w:lineRule="auto"/>
              <w:jc w:val="right"/>
            </w:pPr>
            <w:r>
              <w:rPr>
                <w:rFonts w:ascii="Times New Roman" w:hAnsi="Times New Roman"/>
                <w:b/>
                <w:sz w:val="18"/>
              </w:rPr>
              <w:t>n / G</w:t>
            </w:r>
          </w:p>
        </w:tc>
        <w:tc>
          <w:tcPr>
            <w:tcW w:type="dxa" w:w="864"/>
            <w:vAlign w:val="center"/>
            <w:tcBorders>
              <w:bottom w:val="single" w:sz="6"/>
            </w:tcBorders>
          </w:tcPr>
          <w:p>
            <w:pPr>
              <w:keepNext/>
              <w:spacing w:before="60" w:after="60" w:line="240" w:lineRule="auto"/>
              <w:jc w:val="right"/>
            </w:pPr>
            <w:r>
              <w:rPr>
                <w:rFonts w:ascii="Times New Roman" w:hAnsi="Times New Roman"/>
                <w:b/>
                <w:sz w:val="18"/>
              </w:rPr>
              <w:t>Mean</w:t>
            </w:r>
          </w:p>
        </w:tc>
        <w:tc>
          <w:tcPr>
            <w:tcW w:type="dxa" w:w="864"/>
            <w:vAlign w:val="center"/>
            <w:tcBorders>
              <w:bottom w:val="single" w:sz="6"/>
            </w:tcBorders>
          </w:tcPr>
          <w:p>
            <w:pPr>
              <w:keepNext/>
              <w:spacing w:before="60" w:after="60" w:line="240" w:lineRule="auto"/>
              <w:jc w:val="right"/>
            </w:pPr>
            <w:r>
              <w:rPr>
                <w:rFonts w:ascii="Times New Roman" w:hAnsi="Times New Roman"/>
                <w:b/>
                <w:sz w:val="18"/>
              </w:rPr>
              <w:t>Median</w:t>
            </w:r>
          </w:p>
        </w:tc>
        <w:tc>
          <w:tcPr>
            <w:tcW w:type="dxa" w:w="1800"/>
            <w:vAlign w:val="center"/>
            <w:tcBorders>
              <w:bottom w:val="single" w:sz="6"/>
            </w:tcBorders>
          </w:tcPr>
          <w:p>
            <w:pPr>
              <w:keepNext/>
              <w:spacing w:before="60" w:after="60" w:line="240" w:lineRule="auto"/>
              <w:jc w:val="right"/>
            </w:pPr>
            <w:r>
              <w:rPr>
                <w:rFonts w:ascii="Times New Roman" w:hAnsi="Times New Roman"/>
                <w:b/>
                <w:sz w:val="18"/>
              </w:rPr>
              <w:t>Q1–Q3</w:t>
            </w:r>
          </w:p>
        </w:tc>
        <w:tc>
          <w:tcPr>
            <w:tcW w:type="dxa" w:w="1872"/>
            <w:vAlign w:val="center"/>
            <w:tcBorders>
              <w:bottom w:val="single" w:sz="6"/>
            </w:tcBorders>
          </w:tcPr>
          <w:p>
            <w:pPr>
              <w:keepNext/>
              <w:spacing w:before="60" w:after="60" w:line="240" w:lineRule="auto"/>
              <w:jc w:val="right"/>
            </w:pPr>
            <w:r>
              <w:rPr>
                <w:rFonts w:ascii="Times New Roman" w:hAnsi="Times New Roman"/>
                <w:b/>
                <w:sz w:val="18"/>
              </w:rPr>
              <w:t>Range</w:t>
            </w:r>
          </w:p>
        </w:tc>
        <w:tc>
          <w:tcPr>
            <w:tcW w:type="dxa" w:w="1080"/>
            <w:vAlign w:val="center"/>
            <w:tcBorders>
              <w:bottom w:val="single" w:sz="6"/>
            </w:tcBorders>
          </w:tcPr>
          <w:p>
            <w:pPr>
              <w:keepNext/>
              <w:spacing w:before="60" w:after="60" w:line="240" w:lineRule="auto"/>
              <w:jc w:val="right"/>
            </w:pPr>
            <w:r>
              <w:rPr>
                <w:rFonts w:ascii="Times New Roman" w:hAnsi="Times New Roman"/>
                <w:b/>
                <w:sz w:val="18"/>
              </w:rPr>
              <w:t>SD</w:t>
            </w:r>
          </w:p>
        </w:tc>
      </w:tr>
      <w:tr>
        <w:trPr>
          <w:cantSplit/>
        </w:trPr>
        <w:tc>
          <w:tcPr>
            <w:tcW w:type="dxa" w:w="1656"/>
            <w:vAlign w:val="center"/>
          </w:tcPr>
          <w:p>
            <w:pPr>
              <w:spacing w:before="60" w:after="60" w:line="240" w:lineRule="auto"/>
              <w:jc w:val="left"/>
            </w:pPr>
            <w:r>
              <w:rPr>
                <w:rFonts w:ascii="Times New Roman" w:hAnsi="Times New Roman"/>
                <w:sz w:val="18"/>
              </w:rPr>
              <w:t>Primary</w:t>
            </w:r>
          </w:p>
        </w:tc>
        <w:tc>
          <w:tcPr>
            <w:tcW w:type="dxa" w:w="864"/>
            <w:vAlign w:val="center"/>
          </w:tcPr>
          <w:p>
            <w:pPr>
              <w:spacing w:before="60" w:after="60" w:line="240" w:lineRule="auto"/>
              <w:jc w:val="right"/>
            </w:pPr>
            <w:r>
              <w:rPr>
                <w:rFonts w:ascii="Times New Roman" w:hAnsi="Times New Roman"/>
                <w:sz w:val="18"/>
              </w:rPr>
              <w:t>240 / 21</w:t>
            </w:r>
          </w:p>
        </w:tc>
        <w:tc>
          <w:tcPr>
            <w:tcW w:type="dxa" w:w="864"/>
            <w:vAlign w:val="center"/>
          </w:tcPr>
          <w:p>
            <w:pPr>
              <w:spacing w:before="60" w:after="60" w:line="240" w:lineRule="auto"/>
              <w:jc w:val="right"/>
            </w:pPr>
            <w:r>
              <w:rPr>
                <w:rFonts w:ascii="Times New Roman" w:hAnsi="Times New Roman"/>
                <w:sz w:val="18"/>
              </w:rPr>
              <w:t>33.51</w:t>
            </w:r>
          </w:p>
        </w:tc>
        <w:tc>
          <w:tcPr>
            <w:tcW w:type="dxa" w:w="864"/>
            <w:vAlign w:val="center"/>
          </w:tcPr>
          <w:p>
            <w:pPr>
              <w:spacing w:before="60" w:after="60" w:line="240" w:lineRule="auto"/>
              <w:jc w:val="right"/>
            </w:pPr>
            <w:r>
              <w:rPr>
                <w:rFonts w:ascii="Times New Roman" w:hAnsi="Times New Roman"/>
                <w:sz w:val="18"/>
              </w:rPr>
              <w:t>25.00</w:t>
            </w:r>
          </w:p>
        </w:tc>
        <w:tc>
          <w:tcPr>
            <w:tcW w:type="dxa" w:w="1800"/>
            <w:vAlign w:val="center"/>
          </w:tcPr>
          <w:p>
            <w:pPr>
              <w:spacing w:before="60" w:after="60" w:line="240" w:lineRule="auto"/>
              <w:jc w:val="right"/>
            </w:pPr>
            <w:r>
              <w:rPr>
                <w:rFonts w:ascii="Times New Roman" w:hAnsi="Times New Roman"/>
                <w:sz w:val="18"/>
              </w:rPr>
              <w:t>[11.00, 46.00]</w:t>
            </w:r>
          </w:p>
        </w:tc>
        <w:tc>
          <w:tcPr>
            <w:tcW w:type="dxa" w:w="1872"/>
            <w:vAlign w:val="center"/>
          </w:tcPr>
          <w:p>
            <w:pPr>
              <w:spacing w:before="60" w:after="60" w:line="240" w:lineRule="auto"/>
              <w:jc w:val="right"/>
            </w:pPr>
            <w:r>
              <w:rPr>
                <w:rFonts w:ascii="Times New Roman" w:hAnsi="Times New Roman"/>
                <w:sz w:val="18"/>
              </w:rPr>
              <w:t>[0.00, 174.00]</w:t>
            </w:r>
          </w:p>
        </w:tc>
        <w:tc>
          <w:tcPr>
            <w:tcW w:type="dxa" w:w="1080"/>
            <w:vAlign w:val="center"/>
          </w:tcPr>
          <w:p>
            <w:pPr>
              <w:spacing w:before="60" w:after="60" w:line="240" w:lineRule="auto"/>
              <w:jc w:val="right"/>
            </w:pPr>
            <w:r>
              <w:rPr>
                <w:rFonts w:ascii="Times New Roman" w:hAnsi="Times New Roman"/>
                <w:sz w:val="18"/>
              </w:rPr>
              <w:t>32.06</w:t>
            </w:r>
          </w:p>
        </w:tc>
      </w:tr>
      <w:tr>
        <w:trPr>
          <w:cantSplit/>
        </w:trPr>
        <w:tc>
          <w:tcPr>
            <w:tcW w:type="dxa" w:w="1656"/>
            <w:vAlign w:val="center"/>
          </w:tcPr>
          <w:p>
            <w:pPr>
              <w:spacing w:before="60" w:after="60" w:line="240" w:lineRule="auto"/>
              <w:jc w:val="left"/>
            </w:pPr>
            <w:r>
              <w:rPr>
                <w:rFonts w:ascii="Times New Roman" w:hAnsi="Times New Roman"/>
                <w:sz w:val="18"/>
              </w:rPr>
              <w:t>No row flags</w:t>
            </w:r>
          </w:p>
        </w:tc>
        <w:tc>
          <w:tcPr>
            <w:tcW w:type="dxa" w:w="864"/>
            <w:vAlign w:val="center"/>
          </w:tcPr>
          <w:p>
            <w:pPr>
              <w:spacing w:before="60" w:after="60" w:line="240" w:lineRule="auto"/>
              <w:jc w:val="right"/>
            </w:pPr>
            <w:r>
              <w:rPr>
                <w:rFonts w:ascii="Times New Roman" w:hAnsi="Times New Roman"/>
                <w:sz w:val="18"/>
              </w:rPr>
              <w:t>203 / 18</w:t>
            </w:r>
          </w:p>
        </w:tc>
        <w:tc>
          <w:tcPr>
            <w:tcW w:type="dxa" w:w="864"/>
            <w:vAlign w:val="center"/>
          </w:tcPr>
          <w:p>
            <w:pPr>
              <w:spacing w:before="60" w:after="60" w:line="240" w:lineRule="auto"/>
              <w:jc w:val="right"/>
            </w:pPr>
            <w:r>
              <w:rPr>
                <w:rFonts w:ascii="Times New Roman" w:hAnsi="Times New Roman"/>
                <w:sz w:val="18"/>
              </w:rPr>
              <w:t>30.88</w:t>
            </w:r>
          </w:p>
        </w:tc>
        <w:tc>
          <w:tcPr>
            <w:tcW w:type="dxa" w:w="864"/>
            <w:vAlign w:val="center"/>
          </w:tcPr>
          <w:p>
            <w:pPr>
              <w:spacing w:before="60" w:after="60" w:line="240" w:lineRule="auto"/>
              <w:jc w:val="right"/>
            </w:pPr>
            <w:r>
              <w:rPr>
                <w:rFonts w:ascii="Times New Roman" w:hAnsi="Times New Roman"/>
                <w:sz w:val="18"/>
              </w:rPr>
              <w:t>23.00</w:t>
            </w:r>
          </w:p>
        </w:tc>
        <w:tc>
          <w:tcPr>
            <w:tcW w:type="dxa" w:w="1800"/>
            <w:vAlign w:val="center"/>
          </w:tcPr>
          <w:p>
            <w:pPr>
              <w:spacing w:before="60" w:after="60" w:line="240" w:lineRule="auto"/>
              <w:jc w:val="right"/>
            </w:pPr>
            <w:r>
              <w:rPr>
                <w:rFonts w:ascii="Times New Roman" w:hAnsi="Times New Roman"/>
                <w:sz w:val="18"/>
              </w:rPr>
              <w:t>[10.00, 40.00]</w:t>
            </w:r>
          </w:p>
        </w:tc>
        <w:tc>
          <w:tcPr>
            <w:tcW w:type="dxa" w:w="1872"/>
            <w:vAlign w:val="center"/>
          </w:tcPr>
          <w:p>
            <w:pPr>
              <w:spacing w:before="60" w:after="60" w:line="240" w:lineRule="auto"/>
              <w:jc w:val="right"/>
            </w:pPr>
            <w:r>
              <w:rPr>
                <w:rFonts w:ascii="Times New Roman" w:hAnsi="Times New Roman"/>
                <w:sz w:val="18"/>
              </w:rPr>
              <w:t>[0.00, 174.00]</w:t>
            </w:r>
          </w:p>
        </w:tc>
        <w:tc>
          <w:tcPr>
            <w:tcW w:type="dxa" w:w="1080"/>
            <w:vAlign w:val="center"/>
          </w:tcPr>
          <w:p>
            <w:pPr>
              <w:spacing w:before="60" w:after="60" w:line="240" w:lineRule="auto"/>
              <w:jc w:val="right"/>
            </w:pPr>
            <w:r>
              <w:rPr>
                <w:rFonts w:ascii="Times New Roman" w:hAnsi="Times New Roman"/>
                <w:sz w:val="18"/>
              </w:rPr>
              <w:t>30.30</w:t>
            </w:r>
          </w:p>
        </w:tc>
      </w:tr>
      <w:tr>
        <w:trPr>
          <w:cantSplit/>
        </w:trPr>
        <w:tc>
          <w:tcPr>
            <w:tcW w:type="dxa" w:w="1656"/>
            <w:vAlign w:val="center"/>
          </w:tcPr>
          <w:p>
            <w:pPr>
              <w:spacing w:before="60" w:after="60" w:line="240" w:lineRule="auto"/>
              <w:jc w:val="left"/>
            </w:pPr>
            <w:r>
              <w:rPr>
                <w:rFonts w:ascii="Times New Roman" w:hAnsi="Times New Roman"/>
                <w:sz w:val="18"/>
              </w:rPr>
              <w:t>Best bid only</w:t>
            </w:r>
          </w:p>
        </w:tc>
        <w:tc>
          <w:tcPr>
            <w:tcW w:type="dxa" w:w="864"/>
            <w:vAlign w:val="center"/>
          </w:tcPr>
          <w:p>
            <w:pPr>
              <w:spacing w:before="60" w:after="60" w:line="240" w:lineRule="auto"/>
              <w:jc w:val="right"/>
            </w:pPr>
            <w:r>
              <w:rPr>
                <w:rFonts w:ascii="Times New Roman" w:hAnsi="Times New Roman"/>
                <w:sz w:val="18"/>
              </w:rPr>
              <w:t>236 / 21</w:t>
            </w:r>
          </w:p>
        </w:tc>
        <w:tc>
          <w:tcPr>
            <w:tcW w:type="dxa" w:w="864"/>
            <w:vAlign w:val="center"/>
          </w:tcPr>
          <w:p>
            <w:pPr>
              <w:spacing w:before="60" w:after="60" w:line="240" w:lineRule="auto"/>
              <w:jc w:val="right"/>
            </w:pPr>
            <w:r>
              <w:rPr>
                <w:rFonts w:ascii="Times New Roman" w:hAnsi="Times New Roman"/>
                <w:sz w:val="18"/>
              </w:rPr>
              <w:t>33.37</w:t>
            </w:r>
          </w:p>
        </w:tc>
        <w:tc>
          <w:tcPr>
            <w:tcW w:type="dxa" w:w="864"/>
            <w:vAlign w:val="center"/>
          </w:tcPr>
          <w:p>
            <w:pPr>
              <w:spacing w:before="60" w:after="60" w:line="240" w:lineRule="auto"/>
              <w:jc w:val="right"/>
            </w:pPr>
            <w:r>
              <w:rPr>
                <w:rFonts w:ascii="Times New Roman" w:hAnsi="Times New Roman"/>
                <w:sz w:val="18"/>
              </w:rPr>
              <w:t>25.00</w:t>
            </w:r>
          </w:p>
        </w:tc>
        <w:tc>
          <w:tcPr>
            <w:tcW w:type="dxa" w:w="1800"/>
            <w:vAlign w:val="center"/>
          </w:tcPr>
          <w:p>
            <w:pPr>
              <w:spacing w:before="60" w:after="60" w:line="240" w:lineRule="auto"/>
              <w:jc w:val="right"/>
            </w:pPr>
            <w:r>
              <w:rPr>
                <w:rFonts w:ascii="Times New Roman" w:hAnsi="Times New Roman"/>
                <w:sz w:val="18"/>
              </w:rPr>
              <w:t>[11.00, 46.00]</w:t>
            </w:r>
          </w:p>
        </w:tc>
        <w:tc>
          <w:tcPr>
            <w:tcW w:type="dxa" w:w="1872"/>
            <w:vAlign w:val="center"/>
          </w:tcPr>
          <w:p>
            <w:pPr>
              <w:spacing w:before="60" w:after="60" w:line="240" w:lineRule="auto"/>
              <w:jc w:val="right"/>
            </w:pPr>
            <w:r>
              <w:rPr>
                <w:rFonts w:ascii="Times New Roman" w:hAnsi="Times New Roman"/>
                <w:sz w:val="18"/>
              </w:rPr>
              <w:t>[0.00, 174.00]</w:t>
            </w:r>
          </w:p>
        </w:tc>
        <w:tc>
          <w:tcPr>
            <w:tcW w:type="dxa" w:w="1080"/>
            <w:vAlign w:val="center"/>
          </w:tcPr>
          <w:p>
            <w:pPr>
              <w:spacing w:before="60" w:after="60" w:line="240" w:lineRule="auto"/>
              <w:jc w:val="right"/>
            </w:pPr>
            <w:r>
              <w:rPr>
                <w:rFonts w:ascii="Times New Roman" w:hAnsi="Times New Roman"/>
                <w:sz w:val="18"/>
              </w:rPr>
              <w:t>31.93</w:t>
            </w:r>
          </w:p>
        </w:tc>
      </w:tr>
    </w:tbl>
    <w:p>
      <w:pPr>
        <w:pStyle w:val="FirstParagraph"/>
        <w:spacing w:after="160"/>
      </w:pPr>
      <w:r>
        <w:rPr>
          <w:sz w:val="18"/>
        </w:rPr>
        <w:t>Note: All values except n/G are basis points. Equal auction weights are used. Signed negative/positive/printed-zero counts are 142/92/6 in the primary sample, 118/79/6 in the no-row-flag subset, and 138/92/6 in the best-bid subset. These imply printed-zero shares 2.50%, 2.96% and 2.54%. Absolute outcomes preserve the same zeros. Descriptions were computed after the fits on the unchanged private input sets, not selected to improve estimates. The tables do not measure a treatment effect or procurement benefit.</w:t>
      </w:r>
    </w:p>
    <w:p>
      <w:pPr>
        <w:pStyle w:val="Heading3"/>
        <w:keepNext/>
      </w:pPr>
      <w:r>
        <w:t>S15 Cluster uncertainty, scale and numerical diagnostics</w:t>
      </w:r>
    </w:p>
    <w:p>
      <w:pPr>
        <w:pStyle w:val="FirstParagraph"/>
      </w:pPr>
      <w:r>
        <w:t>The primary uncertainty display uses quarter-cluster CR1 covariance with finite factor G/(G−1) × (n−1)/(n−k), and a t(G−1) reference. The primary signed coefficient alone receives a restricted-null wild-cluster t test with 999 Rademacher sign vectors, SeedSequence([20261011, 2, 240]), and CR1 studentization. The null sets the focal coefficient to zero; no sign vector is redrawn following a failure. All 999 stored draws are valid. Four statistics meet or exceed the absolute observed statistic of 3.5632, giving the two-sided plus-one p-value (4+1)/(999+1) = 0.005. This is a test, not the source of a bootstrap confidence interval.</w:t>
      </w:r>
    </w:p>
    <w:p>
      <w:pPr>
        <w:pStyle w:val="FirstParagraph"/>
      </w:pPr>
      <w:r>
        <w:t>The quarter jackknife deletes each of 21 source quarters, recentres its coefficient estimates at their deletion mean, and uses variance (G−1)/G times their summed squared deviations. This is mean-centred CV3J, distinct from the full-estimate-centred CV3. A t(G−1) interval is displayed around the full-sample coefficient. The approaches follow the cluster-jackknife and wild-bootstrap framework discussed by MacKinnon et al. (2023); they remain approximate with few and potentially dependent time clusters. Agreement of these displays does not adjust the whole exploratory history or make the same observations independent replications.</w:t>
      </w:r>
    </w:p>
    <w:p>
      <w:pPr>
        <w:pStyle w:val="FirstParagraph"/>
        <w:keepNext/>
        <w:spacing w:before="160" w:after="80"/>
      </w:pPr>
      <w:r>
        <w:rPr>
          <w:b/>
        </w:rPr>
        <w:t>Table S12 Distinct price scales and inference diagnostics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1670"/>
        <w:gridCol w:w="979"/>
        <w:gridCol w:w="2376"/>
        <w:gridCol w:w="1037"/>
        <w:gridCol w:w="1786"/>
        <w:gridCol w:w="1152"/>
      </w:tblGrid>
      <w:tr>
        <w:trPr>
          <w:tblHeader w:val="true"/>
          <w:cantSplit/>
        </w:trPr>
        <w:tc>
          <w:tcPr>
            <w:tcW w:type="dxa" w:w="1670"/>
            <w:vAlign w:val="center"/>
            <w:tcBorders>
              <w:bottom w:val="single" w:sz="6"/>
            </w:tcBorders>
          </w:tcPr>
          <w:p>
            <w:pPr>
              <w:keepNext/>
              <w:spacing w:before="60" w:after="60" w:line="240" w:lineRule="auto"/>
              <w:jc w:val="left"/>
            </w:pPr>
            <w:r>
              <w:rPr>
                <w:rFonts w:ascii="Times New Roman" w:hAnsi="Times New Roman"/>
                <w:b/>
                <w:sz w:val="18"/>
              </w:rPr>
              <w:t>Specification</w:t>
            </w:r>
          </w:p>
        </w:tc>
        <w:tc>
          <w:tcPr>
            <w:tcW w:type="dxa" w:w="979"/>
            <w:vAlign w:val="center"/>
            <w:tcBorders>
              <w:bottom w:val="single" w:sz="6"/>
            </w:tcBorders>
          </w:tcPr>
          <w:p>
            <w:pPr>
              <w:keepNext/>
              <w:spacing w:before="60" w:after="60" w:line="240" w:lineRule="auto"/>
              <w:jc w:val="right"/>
            </w:pPr>
            <w:r>
              <w:rPr>
                <w:rFonts w:ascii="Times New Roman" w:hAnsi="Times New Roman"/>
                <w:b/>
                <w:sz w:val="18"/>
              </w:rPr>
              <w:t>x-resid.</w:t>
              <w:br/>
              <w:t>IQR</w:t>
            </w:r>
          </w:p>
        </w:tc>
        <w:tc>
          <w:tcPr>
            <w:tcW w:type="dxa" w:w="2376"/>
            <w:vAlign w:val="center"/>
            <w:tcBorders>
              <w:bottom w:val="single" w:sz="6"/>
            </w:tcBorders>
          </w:tcPr>
          <w:p>
            <w:pPr>
              <w:keepNext/>
              <w:spacing w:before="60" w:after="60" w:line="240" w:lineRule="auto"/>
              <w:jc w:val="right"/>
            </w:pPr>
            <w:r>
              <w:rPr>
                <w:rFonts w:ascii="Times New Roman" w:hAnsi="Times New Roman"/>
                <w:b/>
                <w:sz w:val="18"/>
              </w:rPr>
              <w:t>Residual-IQR contrast</w:t>
              <w:br/>
              <w:t>[95% CI], bp</w:t>
            </w:r>
          </w:p>
        </w:tc>
        <w:tc>
          <w:tcPr>
            <w:tcW w:type="dxa" w:w="1037"/>
            <w:vAlign w:val="center"/>
            <w:tcBorders>
              <w:bottom w:val="single" w:sz="6"/>
            </w:tcBorders>
          </w:tcPr>
          <w:p>
            <w:pPr>
              <w:keepNext/>
              <w:spacing w:before="60" w:after="60" w:line="240" w:lineRule="auto"/>
              <w:jc w:val="right"/>
            </w:pPr>
            <w:r>
              <w:rPr>
                <w:rFonts w:ascii="Times New Roman" w:hAnsi="Times New Roman"/>
                <w:b/>
                <w:sz w:val="18"/>
              </w:rPr>
              <w:t>Scaled</w:t>
              <w:br/>
              <w:t>condition</w:t>
            </w:r>
          </w:p>
        </w:tc>
        <w:tc>
          <w:tcPr>
            <w:tcW w:type="dxa" w:w="1786"/>
            <w:vAlign w:val="center"/>
            <w:tcBorders>
              <w:bottom w:val="single" w:sz="6"/>
            </w:tcBorders>
          </w:tcPr>
          <w:p>
            <w:pPr>
              <w:keepNext/>
              <w:spacing w:before="60" w:after="60" w:line="240" w:lineRule="auto"/>
              <w:jc w:val="right"/>
            </w:pPr>
            <w:r>
              <w:rPr>
                <w:rFonts w:ascii="Times New Roman" w:hAnsi="Times New Roman"/>
                <w:b/>
                <w:sz w:val="18"/>
              </w:rPr>
              <w:t>Max. quarter</w:t>
              <w:br/>
              <w:t>share</w:t>
            </w:r>
          </w:p>
        </w:tc>
        <w:tc>
          <w:tcPr>
            <w:tcW w:type="dxa" w:w="1152"/>
            <w:vAlign w:val="center"/>
            <w:tcBorders>
              <w:bottom w:val="single" w:sz="6"/>
            </w:tcBorders>
          </w:tcPr>
          <w:p>
            <w:pPr>
              <w:keepNext/>
              <w:spacing w:before="60" w:after="60" w:line="240" w:lineRule="auto"/>
              <w:jc w:val="right"/>
            </w:pPr>
            <w:r>
              <w:rPr>
                <w:rFonts w:ascii="Times New Roman" w:hAnsi="Times New Roman"/>
                <w:b/>
                <w:sz w:val="18"/>
              </w:rPr>
              <w:t>Info. equiv.</w:t>
              <w:br/>
              <w:t>quarters</w:t>
            </w:r>
          </w:p>
        </w:tc>
      </w:tr>
      <w:tr>
        <w:trPr>
          <w:cantSplit/>
        </w:trPr>
        <w:tc>
          <w:tcPr>
            <w:tcW w:type="dxa" w:w="1670"/>
            <w:vAlign w:val="center"/>
          </w:tcPr>
          <w:p>
            <w:pPr>
              <w:spacing w:before="60" w:after="60" w:line="240" w:lineRule="auto"/>
              <w:jc w:val="left"/>
            </w:pPr>
            <w:r>
              <w:rPr>
                <w:rFonts w:ascii="Times New Roman" w:hAnsi="Times New Roman"/>
                <w:sz w:val="18"/>
              </w:rPr>
              <w:t>Primary: signed</w:t>
            </w:r>
          </w:p>
        </w:tc>
        <w:tc>
          <w:tcPr>
            <w:tcW w:type="dxa" w:w="979"/>
            <w:vAlign w:val="center"/>
          </w:tcPr>
          <w:p>
            <w:pPr>
              <w:spacing w:before="60" w:after="60" w:line="240" w:lineRule="auto"/>
              <w:jc w:val="right"/>
            </w:pPr>
            <w:r>
              <w:rPr>
                <w:rFonts w:ascii="Times New Roman" w:hAnsi="Times New Roman"/>
                <w:sz w:val="18"/>
              </w:rPr>
              <w:t>0.1291</w:t>
            </w:r>
          </w:p>
        </w:tc>
        <w:tc>
          <w:tcPr>
            <w:tcW w:type="dxa" w:w="2376"/>
            <w:vAlign w:val="center"/>
          </w:tcPr>
          <w:p>
            <w:pPr>
              <w:spacing w:before="60" w:after="60" w:line="240" w:lineRule="auto"/>
              <w:jc w:val="right"/>
            </w:pPr>
            <w:r>
              <w:rPr>
                <w:rFonts w:ascii="Times New Roman" w:hAnsi="Times New Roman"/>
                <w:sz w:val="18"/>
              </w:rPr>
              <w:t>−10.16 [−16.11, −4.21]</w:t>
            </w:r>
          </w:p>
        </w:tc>
        <w:tc>
          <w:tcPr>
            <w:tcW w:type="dxa" w:w="1037"/>
            <w:vAlign w:val="center"/>
          </w:tcPr>
          <w:p>
            <w:pPr>
              <w:spacing w:before="60" w:after="60" w:line="240" w:lineRule="auto"/>
              <w:jc w:val="right"/>
            </w:pPr>
            <w:r>
              <w:rPr>
                <w:rFonts w:ascii="Times New Roman" w:hAnsi="Times New Roman"/>
                <w:sz w:val="18"/>
              </w:rPr>
              <w:t>14.76</w:t>
            </w:r>
          </w:p>
        </w:tc>
        <w:tc>
          <w:tcPr>
            <w:tcW w:type="dxa" w:w="1786"/>
            <w:vAlign w:val="center"/>
          </w:tcPr>
          <w:p>
            <w:pPr>
              <w:spacing w:before="60" w:after="60" w:line="240" w:lineRule="auto"/>
              <w:jc w:val="right"/>
            </w:pPr>
            <w:r>
              <w:rPr>
                <w:rFonts w:ascii="Times New Roman" w:hAnsi="Times New Roman"/>
                <w:sz w:val="18"/>
              </w:rPr>
              <w:t>0.0910</w:t>
            </w:r>
          </w:p>
        </w:tc>
        <w:tc>
          <w:tcPr>
            <w:tcW w:type="dxa" w:w="1152"/>
            <w:vAlign w:val="center"/>
          </w:tcPr>
          <w:p>
            <w:pPr>
              <w:spacing w:before="60" w:after="60" w:line="240" w:lineRule="auto"/>
              <w:jc w:val="right"/>
            </w:pPr>
            <w:r>
              <w:rPr>
                <w:rFonts w:ascii="Times New Roman" w:hAnsi="Times New Roman"/>
                <w:sz w:val="18"/>
              </w:rPr>
              <w:t>16.33</w:t>
            </w:r>
          </w:p>
        </w:tc>
      </w:tr>
      <w:tr>
        <w:trPr>
          <w:cantSplit/>
        </w:trPr>
        <w:tc>
          <w:tcPr>
            <w:tcW w:type="dxa" w:w="1670"/>
            <w:vAlign w:val="center"/>
          </w:tcPr>
          <w:p>
            <w:pPr>
              <w:spacing w:before="60" w:after="60" w:line="240" w:lineRule="auto"/>
              <w:jc w:val="left"/>
            </w:pPr>
            <w:r>
              <w:rPr>
                <w:rFonts w:ascii="Times New Roman" w:hAnsi="Times New Roman"/>
                <w:sz w:val="18"/>
              </w:rPr>
              <w:t>S1: absolute</w:t>
            </w:r>
          </w:p>
        </w:tc>
        <w:tc>
          <w:tcPr>
            <w:tcW w:type="dxa" w:w="979"/>
            <w:vAlign w:val="center"/>
          </w:tcPr>
          <w:p>
            <w:pPr>
              <w:spacing w:before="60" w:after="60" w:line="240" w:lineRule="auto"/>
              <w:jc w:val="right"/>
            </w:pPr>
            <w:r>
              <w:rPr>
                <w:rFonts w:ascii="Times New Roman" w:hAnsi="Times New Roman"/>
                <w:sz w:val="18"/>
              </w:rPr>
              <w:t>0.1291</w:t>
            </w:r>
          </w:p>
        </w:tc>
        <w:tc>
          <w:tcPr>
            <w:tcW w:type="dxa" w:w="2376"/>
            <w:vAlign w:val="center"/>
          </w:tcPr>
          <w:p>
            <w:pPr>
              <w:spacing w:before="60" w:after="60" w:line="240" w:lineRule="auto"/>
              <w:jc w:val="right"/>
            </w:pPr>
            <w:r>
              <w:rPr>
                <w:rFonts w:ascii="Times New Roman" w:hAnsi="Times New Roman"/>
                <w:sz w:val="18"/>
              </w:rPr>
              <w:t>5.34 [−1.75, 12.43]</w:t>
            </w:r>
          </w:p>
        </w:tc>
        <w:tc>
          <w:tcPr>
            <w:tcW w:type="dxa" w:w="1037"/>
            <w:vAlign w:val="center"/>
          </w:tcPr>
          <w:p>
            <w:pPr>
              <w:spacing w:before="60" w:after="60" w:line="240" w:lineRule="auto"/>
              <w:jc w:val="right"/>
            </w:pPr>
            <w:r>
              <w:rPr>
                <w:rFonts w:ascii="Times New Roman" w:hAnsi="Times New Roman"/>
                <w:sz w:val="18"/>
              </w:rPr>
              <w:t>14.76</w:t>
            </w:r>
          </w:p>
        </w:tc>
        <w:tc>
          <w:tcPr>
            <w:tcW w:type="dxa" w:w="1786"/>
            <w:vAlign w:val="center"/>
          </w:tcPr>
          <w:p>
            <w:pPr>
              <w:spacing w:before="60" w:after="60" w:line="240" w:lineRule="auto"/>
              <w:jc w:val="right"/>
            </w:pPr>
            <w:r>
              <w:rPr>
                <w:rFonts w:ascii="Times New Roman" w:hAnsi="Times New Roman"/>
                <w:sz w:val="18"/>
              </w:rPr>
              <w:t>0.0910</w:t>
            </w:r>
          </w:p>
        </w:tc>
        <w:tc>
          <w:tcPr>
            <w:tcW w:type="dxa" w:w="1152"/>
            <w:vAlign w:val="center"/>
          </w:tcPr>
          <w:p>
            <w:pPr>
              <w:spacing w:before="60" w:after="60" w:line="240" w:lineRule="auto"/>
              <w:jc w:val="right"/>
            </w:pPr>
            <w:r>
              <w:rPr>
                <w:rFonts w:ascii="Times New Roman" w:hAnsi="Times New Roman"/>
                <w:sz w:val="18"/>
              </w:rPr>
              <w:t>16.33</w:t>
            </w:r>
          </w:p>
        </w:tc>
      </w:tr>
      <w:tr>
        <w:trPr>
          <w:cantSplit/>
        </w:trPr>
        <w:tc>
          <w:tcPr>
            <w:tcW w:type="dxa" w:w="1670"/>
            <w:vAlign w:val="center"/>
          </w:tcPr>
          <w:p>
            <w:pPr>
              <w:spacing w:before="60" w:after="60" w:line="240" w:lineRule="auto"/>
              <w:jc w:val="left"/>
            </w:pPr>
            <w:r>
              <w:rPr>
                <w:rFonts w:ascii="Times New Roman" w:hAnsi="Times New Roman"/>
                <w:sz w:val="18"/>
              </w:rPr>
              <w:t>S2: no row flags</w:t>
            </w:r>
          </w:p>
        </w:tc>
        <w:tc>
          <w:tcPr>
            <w:tcW w:type="dxa" w:w="979"/>
            <w:vAlign w:val="center"/>
          </w:tcPr>
          <w:p>
            <w:pPr>
              <w:spacing w:before="60" w:after="60" w:line="240" w:lineRule="auto"/>
              <w:jc w:val="right"/>
            </w:pPr>
            <w:r>
              <w:rPr>
                <w:rFonts w:ascii="Times New Roman" w:hAnsi="Times New Roman"/>
                <w:sz w:val="18"/>
              </w:rPr>
              <w:t>0.1247</w:t>
            </w:r>
          </w:p>
        </w:tc>
        <w:tc>
          <w:tcPr>
            <w:tcW w:type="dxa" w:w="2376"/>
            <w:vAlign w:val="center"/>
          </w:tcPr>
          <w:p>
            <w:pPr>
              <w:spacing w:before="60" w:after="60" w:line="240" w:lineRule="auto"/>
              <w:jc w:val="right"/>
            </w:pPr>
            <w:r>
              <w:rPr>
                <w:rFonts w:ascii="Times New Roman" w:hAnsi="Times New Roman"/>
                <w:sz w:val="18"/>
              </w:rPr>
              <w:t>−10.16 [−17.26, −3.06]</w:t>
            </w:r>
          </w:p>
        </w:tc>
        <w:tc>
          <w:tcPr>
            <w:tcW w:type="dxa" w:w="1037"/>
            <w:vAlign w:val="center"/>
          </w:tcPr>
          <w:p>
            <w:pPr>
              <w:spacing w:before="60" w:after="60" w:line="240" w:lineRule="auto"/>
              <w:jc w:val="right"/>
            </w:pPr>
            <w:r>
              <w:rPr>
                <w:rFonts w:ascii="Times New Roman" w:hAnsi="Times New Roman"/>
                <w:sz w:val="18"/>
              </w:rPr>
              <w:t>17.46</w:t>
            </w:r>
          </w:p>
        </w:tc>
        <w:tc>
          <w:tcPr>
            <w:tcW w:type="dxa" w:w="1786"/>
            <w:vAlign w:val="center"/>
          </w:tcPr>
          <w:p>
            <w:pPr>
              <w:spacing w:before="60" w:after="60" w:line="240" w:lineRule="auto"/>
              <w:jc w:val="right"/>
            </w:pPr>
            <w:r>
              <w:rPr>
                <w:rFonts w:ascii="Times New Roman" w:hAnsi="Times New Roman"/>
                <w:sz w:val="18"/>
              </w:rPr>
              <w:t>0.1119</w:t>
            </w:r>
          </w:p>
        </w:tc>
        <w:tc>
          <w:tcPr>
            <w:tcW w:type="dxa" w:w="1152"/>
            <w:vAlign w:val="center"/>
          </w:tcPr>
          <w:p>
            <w:pPr>
              <w:spacing w:before="60" w:after="60" w:line="240" w:lineRule="auto"/>
              <w:jc w:val="right"/>
            </w:pPr>
            <w:r>
              <w:rPr>
                <w:rFonts w:ascii="Times New Roman" w:hAnsi="Times New Roman"/>
                <w:sz w:val="18"/>
              </w:rPr>
              <w:t>13.97</w:t>
            </w:r>
          </w:p>
        </w:tc>
      </w:tr>
      <w:tr>
        <w:trPr>
          <w:cantSplit/>
        </w:trPr>
        <w:tc>
          <w:tcPr>
            <w:tcW w:type="dxa" w:w="1670"/>
            <w:vAlign w:val="center"/>
          </w:tcPr>
          <w:p>
            <w:pPr>
              <w:spacing w:before="60" w:after="60" w:line="240" w:lineRule="auto"/>
              <w:jc w:val="left"/>
            </w:pPr>
            <w:r>
              <w:rPr>
                <w:rFonts w:ascii="Times New Roman" w:hAnsi="Times New Roman"/>
                <w:sz w:val="18"/>
              </w:rPr>
              <w:t>S3: best bid only</w:t>
            </w:r>
          </w:p>
        </w:tc>
        <w:tc>
          <w:tcPr>
            <w:tcW w:type="dxa" w:w="979"/>
            <w:vAlign w:val="center"/>
          </w:tcPr>
          <w:p>
            <w:pPr>
              <w:spacing w:before="60" w:after="60" w:line="240" w:lineRule="auto"/>
              <w:jc w:val="right"/>
            </w:pPr>
            <w:r>
              <w:rPr>
                <w:rFonts w:ascii="Times New Roman" w:hAnsi="Times New Roman"/>
                <w:sz w:val="18"/>
              </w:rPr>
              <w:t>0.1270</w:t>
            </w:r>
          </w:p>
        </w:tc>
        <w:tc>
          <w:tcPr>
            <w:tcW w:type="dxa" w:w="2376"/>
            <w:vAlign w:val="center"/>
          </w:tcPr>
          <w:p>
            <w:pPr>
              <w:spacing w:before="60" w:after="60" w:line="240" w:lineRule="auto"/>
              <w:jc w:val="right"/>
            </w:pPr>
            <w:r>
              <w:rPr>
                <w:rFonts w:ascii="Times New Roman" w:hAnsi="Times New Roman"/>
                <w:sz w:val="18"/>
              </w:rPr>
              <w:t>−10.62 [−16.48, −4.77]</w:t>
            </w:r>
          </w:p>
        </w:tc>
        <w:tc>
          <w:tcPr>
            <w:tcW w:type="dxa" w:w="1037"/>
            <w:vAlign w:val="center"/>
          </w:tcPr>
          <w:p>
            <w:pPr>
              <w:spacing w:before="60" w:after="60" w:line="240" w:lineRule="auto"/>
              <w:jc w:val="right"/>
            </w:pPr>
            <w:r>
              <w:rPr>
                <w:rFonts w:ascii="Times New Roman" w:hAnsi="Times New Roman"/>
                <w:sz w:val="18"/>
              </w:rPr>
              <w:t>14.85</w:t>
            </w:r>
          </w:p>
        </w:tc>
        <w:tc>
          <w:tcPr>
            <w:tcW w:type="dxa" w:w="1786"/>
            <w:vAlign w:val="center"/>
          </w:tcPr>
          <w:p>
            <w:pPr>
              <w:spacing w:before="60" w:after="60" w:line="240" w:lineRule="auto"/>
              <w:jc w:val="right"/>
            </w:pPr>
            <w:r>
              <w:rPr>
                <w:rFonts w:ascii="Times New Roman" w:hAnsi="Times New Roman"/>
                <w:sz w:val="18"/>
              </w:rPr>
              <w:t>0.0921</w:t>
            </w:r>
          </w:p>
        </w:tc>
        <w:tc>
          <w:tcPr>
            <w:tcW w:type="dxa" w:w="1152"/>
            <w:vAlign w:val="center"/>
          </w:tcPr>
          <w:p>
            <w:pPr>
              <w:spacing w:before="60" w:after="60" w:line="240" w:lineRule="auto"/>
              <w:jc w:val="right"/>
            </w:pPr>
            <w:r>
              <w:rPr>
                <w:rFonts w:ascii="Times New Roman" w:hAnsi="Times New Roman"/>
                <w:sz w:val="18"/>
              </w:rPr>
              <w:t>16.15</w:t>
            </w:r>
          </w:p>
        </w:tc>
      </w:tr>
    </w:tbl>
    <w:p>
      <w:pPr>
        <w:pStyle w:val="FirstParagraph"/>
        <w:spacing w:after="160"/>
      </w:pPr>
      <w:r>
        <w:rPr>
          <w:sz w:val="18"/>
        </w:rPr>
        <w:t>Note: Residual-x contrasts differ from the observed-x contrasts in main Table 6. They are not alternatives selected by effect size. Information shares are proportional to within-model residualized x squared, summed by quarter; their reciprocal concentration is a design diagnostic, not a certified effective independent sample size. The primary observed-x contrast is −14.5059 bp; the residual-x contrast is −10.1622 bp. The primary CR1 SE is 22.0923; the CV3J SE is 27.7203 and its coefficient interval [−136.5430, −20.8960]. The single wild-cluster p-value is 0.005. Raw and scaled condition numbers address different numerical scales; no control was dropped to obtain significance.</w:t>
      </w:r>
    </w:p>
    <w:p>
      <w:pPr>
        <w:pStyle w:val="Heading3"/>
        <w:keepNext/>
      </w:pPr>
      <w:r>
        <w:t>S16 Source-subset and year-deletion limits</w:t>
      </w:r>
    </w:p>
    <w:p>
      <w:pPr>
        <w:pStyle w:val="FirstParagraph"/>
      </w:pPr>
      <w:r>
        <w:t>The four fixed extended specifications and their own identical-row baselines are reported in main Table 6. Only the primary model has the 999-draw wild-cluster test. The two source subsets overlap the primary data; their similar signs are not independent replications. The absolute-outcome coefficient is positive but imprecise, so neither a reduction in magnitude nor a zero effect has been established. No new natural-log price specification or further window search was added after viewing these results.</w:t>
      </w:r>
    </w:p>
    <w:p>
      <w:pPr>
        <w:pStyle w:val="FirstParagraph"/>
        <w:keepNext/>
        <w:spacing w:before="160" w:after="80"/>
      </w:pPr>
      <w:r>
        <w:rPr>
          <w:b/>
        </w:rPr>
        <w:t>Table S13 Fixed leave-one-year-out primary price coefficients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2016"/>
        <w:gridCol w:w="2160"/>
        <w:gridCol w:w="2160"/>
        <w:gridCol w:w="2664"/>
      </w:tblGrid>
      <w:tr>
        <w:trPr>
          <w:tblHeader w:val="true"/>
          <w:cantSplit/>
        </w:trPr>
        <w:tc>
          <w:tcPr>
            <w:tcW w:type="dxa" w:w="2016"/>
            <w:vAlign w:val="center"/>
            <w:tcBorders>
              <w:bottom w:val="single" w:sz="6"/>
            </w:tcBorders>
          </w:tcPr>
          <w:p>
            <w:pPr>
              <w:keepNext/>
              <w:spacing w:before="60" w:after="60" w:line="240" w:lineRule="auto"/>
              <w:jc w:val="left"/>
            </w:pPr>
            <w:r>
              <w:rPr>
                <w:rFonts w:ascii="Times New Roman" w:hAnsi="Times New Roman"/>
                <w:b/>
                <w:sz w:val="18"/>
              </w:rPr>
              <w:t>Omitted year</w:t>
            </w:r>
          </w:p>
        </w:tc>
        <w:tc>
          <w:tcPr>
            <w:tcW w:type="dxa" w:w="2160"/>
            <w:vAlign w:val="center"/>
            <w:tcBorders>
              <w:bottom w:val="single" w:sz="6"/>
            </w:tcBorders>
          </w:tcPr>
          <w:p>
            <w:pPr>
              <w:keepNext/>
              <w:spacing w:before="60" w:after="60" w:line="240" w:lineRule="auto"/>
              <w:jc w:val="right"/>
            </w:pPr>
            <w:r>
              <w:rPr>
                <w:rFonts w:ascii="Times New Roman" w:hAnsi="Times New Roman"/>
                <w:b/>
                <w:sz w:val="18"/>
              </w:rPr>
              <w:t>Auctions retained</w:t>
            </w:r>
          </w:p>
        </w:tc>
        <w:tc>
          <w:tcPr>
            <w:tcW w:type="dxa" w:w="2160"/>
            <w:vAlign w:val="center"/>
            <w:tcBorders>
              <w:bottom w:val="single" w:sz="6"/>
            </w:tcBorders>
          </w:tcPr>
          <w:p>
            <w:pPr>
              <w:keepNext/>
              <w:spacing w:before="60" w:after="60" w:line="240" w:lineRule="auto"/>
              <w:jc w:val="right"/>
            </w:pPr>
            <w:r>
              <w:rPr>
                <w:rFonts w:ascii="Times New Roman" w:hAnsi="Times New Roman"/>
                <w:b/>
                <w:sz w:val="18"/>
              </w:rPr>
              <w:t>Quarters retained</w:t>
            </w:r>
          </w:p>
        </w:tc>
        <w:tc>
          <w:tcPr>
            <w:tcW w:type="dxa" w:w="2664"/>
            <w:vAlign w:val="center"/>
            <w:tcBorders>
              <w:bottom w:val="single" w:sz="6"/>
            </w:tcBorders>
          </w:tcPr>
          <w:p>
            <w:pPr>
              <w:keepNext/>
              <w:spacing w:before="60" w:after="60" w:line="240" w:lineRule="auto"/>
              <w:jc w:val="right"/>
            </w:pPr>
            <w:r>
              <w:rPr>
                <w:rFonts w:ascii="Times New Roman" w:hAnsi="Times New Roman"/>
                <w:b/>
                <w:sz w:val="18"/>
              </w:rPr>
              <w:t>κ (bp per unit x)</w:t>
            </w:r>
          </w:p>
        </w:tc>
      </w:tr>
      <w:tr>
        <w:trPr>
          <w:cantSplit/>
        </w:trPr>
        <w:tc>
          <w:tcPr>
            <w:tcW w:type="dxa" w:w="2016"/>
            <w:vAlign w:val="center"/>
          </w:tcPr>
          <w:p>
            <w:pPr>
              <w:spacing w:before="60" w:after="60" w:line="240" w:lineRule="auto"/>
              <w:jc w:val="left"/>
            </w:pPr>
            <w:r>
              <w:rPr>
                <w:rFonts w:ascii="Times New Roman" w:hAnsi="Times New Roman"/>
                <w:sz w:val="18"/>
              </w:rPr>
              <w:t>2020</w:t>
            </w:r>
          </w:p>
        </w:tc>
        <w:tc>
          <w:tcPr>
            <w:tcW w:type="dxa" w:w="2160"/>
            <w:vAlign w:val="center"/>
          </w:tcPr>
          <w:p>
            <w:pPr>
              <w:spacing w:before="60" w:after="60" w:line="240" w:lineRule="auto"/>
              <w:jc w:val="right"/>
            </w:pPr>
            <w:r>
              <w:rPr>
                <w:rFonts w:ascii="Times New Roman" w:hAnsi="Times New Roman"/>
                <w:sz w:val="18"/>
              </w:rPr>
              <w:t>194</w:t>
            </w:r>
          </w:p>
        </w:tc>
        <w:tc>
          <w:tcPr>
            <w:tcW w:type="dxa" w:w="2160"/>
            <w:vAlign w:val="center"/>
          </w:tcPr>
          <w:p>
            <w:pPr>
              <w:spacing w:before="60" w:after="60" w:line="240" w:lineRule="auto"/>
              <w:jc w:val="right"/>
            </w:pPr>
            <w:r>
              <w:rPr>
                <w:rFonts w:ascii="Times New Roman" w:hAnsi="Times New Roman"/>
                <w:sz w:val="18"/>
              </w:rPr>
              <w:t>17</w:t>
            </w:r>
          </w:p>
        </w:tc>
        <w:tc>
          <w:tcPr>
            <w:tcW w:type="dxa" w:w="2664"/>
            <w:vAlign w:val="center"/>
          </w:tcPr>
          <w:p>
            <w:pPr>
              <w:spacing w:before="60" w:after="60" w:line="240" w:lineRule="auto"/>
              <w:jc w:val="right"/>
            </w:pPr>
            <w:r>
              <w:rPr>
                <w:rFonts w:ascii="Times New Roman" w:hAnsi="Times New Roman"/>
                <w:sz w:val="18"/>
              </w:rPr>
              <w:t>−86.11</w:t>
            </w:r>
          </w:p>
        </w:tc>
      </w:tr>
      <w:tr>
        <w:trPr>
          <w:cantSplit/>
        </w:trPr>
        <w:tc>
          <w:tcPr>
            <w:tcW w:type="dxa" w:w="2016"/>
            <w:vAlign w:val="center"/>
          </w:tcPr>
          <w:p>
            <w:pPr>
              <w:spacing w:before="60" w:after="60" w:line="240" w:lineRule="auto"/>
              <w:jc w:val="left"/>
            </w:pPr>
            <w:r>
              <w:rPr>
                <w:rFonts w:ascii="Times New Roman" w:hAnsi="Times New Roman"/>
                <w:sz w:val="18"/>
              </w:rPr>
              <w:t>2021</w:t>
            </w:r>
          </w:p>
        </w:tc>
        <w:tc>
          <w:tcPr>
            <w:tcW w:type="dxa" w:w="2160"/>
            <w:vAlign w:val="center"/>
          </w:tcPr>
          <w:p>
            <w:pPr>
              <w:spacing w:before="60" w:after="60" w:line="240" w:lineRule="auto"/>
              <w:jc w:val="right"/>
            </w:pPr>
            <w:r>
              <w:rPr>
                <w:rFonts w:ascii="Times New Roman" w:hAnsi="Times New Roman"/>
                <w:sz w:val="18"/>
              </w:rPr>
              <w:t>195</w:t>
            </w:r>
          </w:p>
        </w:tc>
        <w:tc>
          <w:tcPr>
            <w:tcW w:type="dxa" w:w="2160"/>
            <w:vAlign w:val="center"/>
          </w:tcPr>
          <w:p>
            <w:pPr>
              <w:spacing w:before="60" w:after="60" w:line="240" w:lineRule="auto"/>
              <w:jc w:val="right"/>
            </w:pPr>
            <w:r>
              <w:rPr>
                <w:rFonts w:ascii="Times New Roman" w:hAnsi="Times New Roman"/>
                <w:sz w:val="18"/>
              </w:rPr>
              <w:t>17</w:t>
            </w:r>
          </w:p>
        </w:tc>
        <w:tc>
          <w:tcPr>
            <w:tcW w:type="dxa" w:w="2664"/>
            <w:vAlign w:val="center"/>
          </w:tcPr>
          <w:p>
            <w:pPr>
              <w:spacing w:before="60" w:after="60" w:line="240" w:lineRule="auto"/>
              <w:jc w:val="right"/>
            </w:pPr>
            <w:r>
              <w:rPr>
                <w:rFonts w:ascii="Times New Roman" w:hAnsi="Times New Roman"/>
                <w:sz w:val="18"/>
              </w:rPr>
              <w:t>−84.42</w:t>
            </w:r>
          </w:p>
        </w:tc>
      </w:tr>
      <w:tr>
        <w:trPr>
          <w:cantSplit/>
        </w:trPr>
        <w:tc>
          <w:tcPr>
            <w:tcW w:type="dxa" w:w="2016"/>
            <w:vAlign w:val="center"/>
          </w:tcPr>
          <w:p>
            <w:pPr>
              <w:spacing w:before="60" w:after="60" w:line="240" w:lineRule="auto"/>
              <w:jc w:val="left"/>
            </w:pPr>
            <w:r>
              <w:rPr>
                <w:rFonts w:ascii="Times New Roman" w:hAnsi="Times New Roman"/>
                <w:sz w:val="18"/>
              </w:rPr>
              <w:t>2022</w:t>
            </w:r>
          </w:p>
        </w:tc>
        <w:tc>
          <w:tcPr>
            <w:tcW w:type="dxa" w:w="2160"/>
            <w:vAlign w:val="center"/>
          </w:tcPr>
          <w:p>
            <w:pPr>
              <w:spacing w:before="60" w:after="60" w:line="240" w:lineRule="auto"/>
              <w:jc w:val="right"/>
            </w:pPr>
            <w:r>
              <w:rPr>
                <w:rFonts w:ascii="Times New Roman" w:hAnsi="Times New Roman"/>
                <w:sz w:val="18"/>
              </w:rPr>
              <w:t>205</w:t>
            </w:r>
          </w:p>
        </w:tc>
        <w:tc>
          <w:tcPr>
            <w:tcW w:type="dxa" w:w="2160"/>
            <w:vAlign w:val="center"/>
          </w:tcPr>
          <w:p>
            <w:pPr>
              <w:spacing w:before="60" w:after="60" w:line="240" w:lineRule="auto"/>
              <w:jc w:val="right"/>
            </w:pPr>
            <w:r>
              <w:rPr>
                <w:rFonts w:ascii="Times New Roman" w:hAnsi="Times New Roman"/>
                <w:sz w:val="18"/>
              </w:rPr>
              <w:t>18</w:t>
            </w:r>
          </w:p>
        </w:tc>
        <w:tc>
          <w:tcPr>
            <w:tcW w:type="dxa" w:w="2664"/>
            <w:vAlign w:val="center"/>
          </w:tcPr>
          <w:p>
            <w:pPr>
              <w:spacing w:before="60" w:after="60" w:line="240" w:lineRule="auto"/>
              <w:jc w:val="right"/>
            </w:pPr>
            <w:r>
              <w:rPr>
                <w:rFonts w:ascii="Times New Roman" w:hAnsi="Times New Roman"/>
                <w:sz w:val="18"/>
              </w:rPr>
              <w:t>−45.12</w:t>
            </w:r>
          </w:p>
        </w:tc>
      </w:tr>
      <w:tr>
        <w:trPr>
          <w:cantSplit/>
        </w:trPr>
        <w:tc>
          <w:tcPr>
            <w:tcW w:type="dxa" w:w="2016"/>
            <w:vAlign w:val="center"/>
          </w:tcPr>
          <w:p>
            <w:pPr>
              <w:spacing w:before="60" w:after="60" w:line="240" w:lineRule="auto"/>
              <w:jc w:val="left"/>
            </w:pPr>
            <w:r>
              <w:rPr>
                <w:rFonts w:ascii="Times New Roman" w:hAnsi="Times New Roman"/>
                <w:sz w:val="18"/>
              </w:rPr>
              <w:t>2023</w:t>
            </w:r>
          </w:p>
        </w:tc>
        <w:tc>
          <w:tcPr>
            <w:tcW w:type="dxa" w:w="2160"/>
            <w:vAlign w:val="center"/>
          </w:tcPr>
          <w:p>
            <w:pPr>
              <w:spacing w:before="60" w:after="60" w:line="240" w:lineRule="auto"/>
              <w:jc w:val="right"/>
            </w:pPr>
            <w:r>
              <w:rPr>
                <w:rFonts w:ascii="Times New Roman" w:hAnsi="Times New Roman"/>
                <w:sz w:val="18"/>
              </w:rPr>
              <w:t>204</w:t>
            </w:r>
          </w:p>
        </w:tc>
        <w:tc>
          <w:tcPr>
            <w:tcW w:type="dxa" w:w="2160"/>
            <w:vAlign w:val="center"/>
          </w:tcPr>
          <w:p>
            <w:pPr>
              <w:spacing w:before="60" w:after="60" w:line="240" w:lineRule="auto"/>
              <w:jc w:val="right"/>
            </w:pPr>
            <w:r>
              <w:rPr>
                <w:rFonts w:ascii="Times New Roman" w:hAnsi="Times New Roman"/>
                <w:sz w:val="18"/>
              </w:rPr>
              <w:t>18</w:t>
            </w:r>
          </w:p>
        </w:tc>
        <w:tc>
          <w:tcPr>
            <w:tcW w:type="dxa" w:w="2664"/>
            <w:vAlign w:val="center"/>
          </w:tcPr>
          <w:p>
            <w:pPr>
              <w:spacing w:before="60" w:after="60" w:line="240" w:lineRule="auto"/>
              <w:jc w:val="right"/>
            </w:pPr>
            <w:r>
              <w:rPr>
                <w:rFonts w:ascii="Times New Roman" w:hAnsi="Times New Roman"/>
                <w:sz w:val="18"/>
              </w:rPr>
              <w:t>−73.27</w:t>
            </w:r>
          </w:p>
        </w:tc>
      </w:tr>
      <w:tr>
        <w:trPr>
          <w:cantSplit/>
        </w:trPr>
        <w:tc>
          <w:tcPr>
            <w:tcW w:type="dxa" w:w="2016"/>
            <w:vAlign w:val="center"/>
          </w:tcPr>
          <w:p>
            <w:pPr>
              <w:spacing w:before="60" w:after="60" w:line="240" w:lineRule="auto"/>
              <w:jc w:val="left"/>
            </w:pPr>
            <w:r>
              <w:rPr>
                <w:rFonts w:ascii="Times New Roman" w:hAnsi="Times New Roman"/>
                <w:sz w:val="18"/>
              </w:rPr>
              <w:t>2024</w:t>
            </w:r>
          </w:p>
        </w:tc>
        <w:tc>
          <w:tcPr>
            <w:tcW w:type="dxa" w:w="2160"/>
            <w:vAlign w:val="center"/>
          </w:tcPr>
          <w:p>
            <w:pPr>
              <w:spacing w:before="60" w:after="60" w:line="240" w:lineRule="auto"/>
              <w:jc w:val="right"/>
            </w:pPr>
            <w:r>
              <w:rPr>
                <w:rFonts w:ascii="Times New Roman" w:hAnsi="Times New Roman"/>
                <w:sz w:val="18"/>
              </w:rPr>
              <w:t>206</w:t>
            </w:r>
          </w:p>
        </w:tc>
        <w:tc>
          <w:tcPr>
            <w:tcW w:type="dxa" w:w="2160"/>
            <w:vAlign w:val="center"/>
          </w:tcPr>
          <w:p>
            <w:pPr>
              <w:spacing w:before="60" w:after="60" w:line="240" w:lineRule="auto"/>
              <w:jc w:val="right"/>
            </w:pPr>
            <w:r>
              <w:rPr>
                <w:rFonts w:ascii="Times New Roman" w:hAnsi="Times New Roman"/>
                <w:sz w:val="18"/>
              </w:rPr>
              <w:t>18</w:t>
            </w:r>
          </w:p>
        </w:tc>
        <w:tc>
          <w:tcPr>
            <w:tcW w:type="dxa" w:w="2664"/>
            <w:vAlign w:val="center"/>
          </w:tcPr>
          <w:p>
            <w:pPr>
              <w:spacing w:before="60" w:after="60" w:line="240" w:lineRule="auto"/>
              <w:jc w:val="right"/>
            </w:pPr>
            <w:r>
              <w:rPr>
                <w:rFonts w:ascii="Times New Roman" w:hAnsi="Times New Roman"/>
                <w:sz w:val="18"/>
              </w:rPr>
              <w:t>−88.23</w:t>
            </w:r>
          </w:p>
        </w:tc>
      </w:tr>
      <w:tr>
        <w:trPr>
          <w:cantSplit/>
        </w:trPr>
        <w:tc>
          <w:tcPr>
            <w:tcW w:type="dxa" w:w="2016"/>
            <w:vAlign w:val="center"/>
          </w:tcPr>
          <w:p>
            <w:pPr>
              <w:spacing w:before="60" w:after="60" w:line="240" w:lineRule="auto"/>
              <w:jc w:val="left"/>
            </w:pPr>
            <w:r>
              <w:rPr>
                <w:rFonts w:ascii="Times New Roman" w:hAnsi="Times New Roman"/>
                <w:sz w:val="18"/>
              </w:rPr>
              <w:t>2025</w:t>
            </w:r>
          </w:p>
        </w:tc>
        <w:tc>
          <w:tcPr>
            <w:tcW w:type="dxa" w:w="2160"/>
            <w:vAlign w:val="center"/>
          </w:tcPr>
          <w:p>
            <w:pPr>
              <w:spacing w:before="60" w:after="60" w:line="240" w:lineRule="auto"/>
              <w:jc w:val="right"/>
            </w:pPr>
            <w:r>
              <w:rPr>
                <w:rFonts w:ascii="Times New Roman" w:hAnsi="Times New Roman"/>
                <w:sz w:val="18"/>
              </w:rPr>
              <w:t>196</w:t>
            </w:r>
          </w:p>
        </w:tc>
        <w:tc>
          <w:tcPr>
            <w:tcW w:type="dxa" w:w="2160"/>
            <w:vAlign w:val="center"/>
          </w:tcPr>
          <w:p>
            <w:pPr>
              <w:spacing w:before="60" w:after="60" w:line="240" w:lineRule="auto"/>
              <w:jc w:val="right"/>
            </w:pPr>
            <w:r>
              <w:rPr>
                <w:rFonts w:ascii="Times New Roman" w:hAnsi="Times New Roman"/>
                <w:sz w:val="18"/>
              </w:rPr>
              <w:t>17</w:t>
            </w:r>
          </w:p>
        </w:tc>
        <w:tc>
          <w:tcPr>
            <w:tcW w:type="dxa" w:w="2664"/>
            <w:vAlign w:val="center"/>
          </w:tcPr>
          <w:p>
            <w:pPr>
              <w:spacing w:before="60" w:after="60" w:line="240" w:lineRule="auto"/>
              <w:jc w:val="right"/>
            </w:pPr>
            <w:r>
              <w:rPr>
                <w:rFonts w:ascii="Times New Roman" w:hAnsi="Times New Roman"/>
                <w:sz w:val="18"/>
              </w:rPr>
              <w:t>−83.74</w:t>
            </w:r>
          </w:p>
        </w:tc>
      </w:tr>
    </w:tbl>
    <w:p>
      <w:pPr>
        <w:pStyle w:val="FirstParagraph"/>
        <w:spacing w:after="160"/>
      </w:pPr>
      <w:r>
        <w:rPr>
          <w:sz w:val="18"/>
        </w:rPr>
        <w:t>Note: These are point-estimate influence checks, not six significance tests. Observed-year effects are rebased after deletion; all economic controls are retained. Deleting 2022 reduces the coefficient magnitude from 78.72 to 45.12, a 42.7% comparison of two estimates, not an estimate of the contribution of that year. No claim is made that the deletion-specific intervals exclude zero or that slopes are invariant across years. The 21 quarter deletions and the four models remain available in the fixed RESULTS.json.</w:t>
      </w:r>
    </w:p>
    <w:p>
      <w:pPr>
        <w:pStyle w:val="FirstParagraph"/>
      </w:pPr>
      <w:r>
        <w:t>The team reports 1,034 original estimation requests (eight baseline/extension fits, 999 restricted bootstrap fits, 21 quarter deletions and six year deletions), followed by four cross-implementation comparisons of the same models. The signed coefficient, CR1 SE and partial R² agreed numerically. Twenty-six artificial tests passed in each recorded Python mode, and 55 source objects were unchanged. These are team computation and verification records, not a claim of a new raw-data refit by the present editorial reviewer. This revision separately checks the public arithmetic, manifest bytes and stored test statistics without access to private event rows.</w:t>
      </w:r>
    </w:p>
    <w:p>
      <w:pPr>
        <w:pStyle w:val="Heading3"/>
        <w:keepNext/>
      </w:pPr>
      <w:r>
        <w:t>S17 Report definitions, locators and availability</w:t>
      </w:r>
    </w:p>
    <w:p>
      <w:pPr>
        <w:pStyle w:val="FirstParagraph"/>
      </w:pPr>
      <w:r>
        <w:t>The targeted local source-definition audit covers 24 held quarterly reports: file identity and native text were checked, relevant Table 4 explanatory text was located, and the earliest and latest complete methods paragraphs were additionally read. That audit describes the target as a comparison of auction clearing prices with the secondary-market reference. It did not locate an explicit subtraction-and-percentage-denominator equation in the examined text. This does not prove that no formula occurs elsewhere or in an image. Accordingly, the article retains the official signed number and the phrase “lower official-reported signed deviation”, without reconstructing a numerator, dividing by an inferred reference price, or relabelling the association as a larger discount.</w:t>
      </w:r>
    </w:p>
    <w:p>
      <w:pPr>
        <w:pStyle w:val="FirstParagraph"/>
        <w:keepNext/>
        <w:spacing w:before="160" w:after="80"/>
      </w:pPr>
      <w:r>
        <w:rPr>
          <w:b/>
        </w:rPr>
        <w:t>Table S14 Report-definition page locators and eligibility</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2232"/>
        <w:gridCol w:w="2160"/>
        <w:gridCol w:w="2304"/>
        <w:gridCol w:w="2304"/>
      </w:tblGrid>
      <w:tr>
        <w:trPr>
          <w:tblHeader w:val="true"/>
          <w:cantSplit/>
        </w:trPr>
        <w:tc>
          <w:tcPr>
            <w:tcW w:type="dxa" w:w="2232"/>
            <w:vAlign w:val="center"/>
            <w:tcBorders>
              <w:bottom w:val="single" w:sz="6"/>
            </w:tcBorders>
          </w:tcPr>
          <w:p>
            <w:pPr>
              <w:keepNext/>
              <w:spacing w:before="60" w:after="60" w:line="240" w:lineRule="auto"/>
              <w:jc w:val="left"/>
            </w:pPr>
            <w:r>
              <w:rPr>
                <w:rFonts w:ascii="Times New Roman" w:hAnsi="Times New Roman"/>
                <w:b/>
                <w:sz w:val="18"/>
              </w:rPr>
              <w:t>Source quarter</w:t>
            </w:r>
          </w:p>
        </w:tc>
        <w:tc>
          <w:tcPr>
            <w:tcW w:type="dxa" w:w="2160"/>
            <w:vAlign w:val="center"/>
            <w:tcBorders>
              <w:bottom w:val="single" w:sz="6"/>
            </w:tcBorders>
          </w:tcPr>
          <w:p>
            <w:pPr>
              <w:keepNext/>
              <w:spacing w:before="60" w:after="60" w:line="240" w:lineRule="auto"/>
              <w:jc w:val="right"/>
            </w:pPr>
            <w:r>
              <w:rPr>
                <w:rFonts w:ascii="Times New Roman" w:hAnsi="Times New Roman"/>
                <w:b/>
                <w:sz w:val="18"/>
              </w:rPr>
              <w:t>Definition page</w:t>
            </w:r>
          </w:p>
        </w:tc>
        <w:tc>
          <w:tcPr>
            <w:tcW w:type="dxa" w:w="2304"/>
            <w:vAlign w:val="center"/>
            <w:tcBorders>
              <w:bottom w:val="single" w:sz="6"/>
            </w:tcBorders>
          </w:tcPr>
          <w:p>
            <w:pPr>
              <w:keepNext/>
              <w:spacing w:before="60" w:after="60" w:line="240" w:lineRule="auto"/>
              <w:jc w:val="right"/>
            </w:pPr>
            <w:r>
              <w:rPr>
                <w:rFonts w:ascii="Times New Roman" w:hAnsi="Times New Roman"/>
                <w:b/>
                <w:sz w:val="18"/>
              </w:rPr>
              <w:t>Reported auctions</w:t>
            </w:r>
          </w:p>
        </w:tc>
        <w:tc>
          <w:tcPr>
            <w:tcW w:type="dxa" w:w="2304"/>
            <w:vAlign w:val="center"/>
            <w:tcBorders>
              <w:bottom w:val="single" w:sz="6"/>
            </w:tcBorders>
          </w:tcPr>
          <w:p>
            <w:pPr>
              <w:keepNext/>
              <w:spacing w:before="60" w:after="60" w:line="240" w:lineRule="auto"/>
              <w:jc w:val="right"/>
            </w:pPr>
            <w:r>
              <w:rPr>
                <w:rFonts w:ascii="Times New Roman" w:hAnsi="Times New Roman"/>
                <w:b/>
                <w:sz w:val="18"/>
              </w:rPr>
              <w:t>Eligible auctions</w:t>
            </w:r>
          </w:p>
        </w:tc>
      </w:tr>
      <w:tr>
        <w:trPr>
          <w:cantSplit/>
        </w:trPr>
        <w:tc>
          <w:tcPr>
            <w:tcW w:type="dxa" w:w="2232"/>
            <w:vAlign w:val="center"/>
          </w:tcPr>
          <w:p>
            <w:pPr>
              <w:spacing w:before="60" w:after="60" w:line="240" w:lineRule="auto"/>
              <w:jc w:val="left"/>
            </w:pPr>
            <w:r>
              <w:rPr>
                <w:rFonts w:ascii="Times New Roman" w:hAnsi="Times New Roman"/>
                <w:sz w:val="18"/>
              </w:rPr>
              <w:t>2020Q1</w:t>
            </w:r>
          </w:p>
        </w:tc>
        <w:tc>
          <w:tcPr>
            <w:tcW w:type="dxa" w:w="2160"/>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12</w:t>
            </w:r>
          </w:p>
        </w:tc>
        <w:tc>
          <w:tcPr>
            <w:tcW w:type="dxa" w:w="2304"/>
            <w:vAlign w:val="center"/>
          </w:tcPr>
          <w:p>
            <w:pPr>
              <w:spacing w:before="60" w:after="60" w:line="240" w:lineRule="auto"/>
              <w:jc w:val="right"/>
            </w:pPr>
            <w:r>
              <w:rPr>
                <w:rFonts w:ascii="Times New Roman" w:hAnsi="Times New Roman"/>
                <w:sz w:val="18"/>
              </w:rPr>
              <w:t>12</w:t>
            </w:r>
          </w:p>
        </w:tc>
      </w:tr>
      <w:tr>
        <w:trPr>
          <w:cantSplit/>
        </w:trPr>
        <w:tc>
          <w:tcPr>
            <w:tcW w:type="dxa" w:w="2232"/>
            <w:vAlign w:val="center"/>
          </w:tcPr>
          <w:p>
            <w:pPr>
              <w:spacing w:before="60" w:after="60" w:line="240" w:lineRule="auto"/>
              <w:jc w:val="left"/>
            </w:pPr>
            <w:r>
              <w:rPr>
                <w:rFonts w:ascii="Times New Roman" w:hAnsi="Times New Roman"/>
                <w:sz w:val="18"/>
              </w:rPr>
              <w:t>2020Q2</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10</w:t>
            </w:r>
          </w:p>
        </w:tc>
        <w:tc>
          <w:tcPr>
            <w:tcW w:type="dxa" w:w="2304"/>
            <w:vAlign w:val="center"/>
          </w:tcPr>
          <w:p>
            <w:pPr>
              <w:spacing w:before="60" w:after="60" w:line="240" w:lineRule="auto"/>
              <w:jc w:val="right"/>
            </w:pPr>
            <w:r>
              <w:rPr>
                <w:rFonts w:ascii="Times New Roman" w:hAnsi="Times New Roman"/>
                <w:sz w:val="18"/>
              </w:rPr>
              <w:t>10</w:t>
            </w:r>
          </w:p>
        </w:tc>
      </w:tr>
      <w:tr>
        <w:trPr>
          <w:cantSplit/>
        </w:trPr>
        <w:tc>
          <w:tcPr>
            <w:tcW w:type="dxa" w:w="2232"/>
            <w:vAlign w:val="center"/>
          </w:tcPr>
          <w:p>
            <w:pPr>
              <w:spacing w:before="60" w:after="60" w:line="240" w:lineRule="auto"/>
              <w:jc w:val="left"/>
            </w:pPr>
            <w:r>
              <w:rPr>
                <w:rFonts w:ascii="Times New Roman" w:hAnsi="Times New Roman"/>
                <w:sz w:val="18"/>
              </w:rPr>
              <w:t>2020Q3</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13</w:t>
            </w:r>
          </w:p>
        </w:tc>
      </w:tr>
      <w:tr>
        <w:trPr>
          <w:cantSplit/>
        </w:trPr>
        <w:tc>
          <w:tcPr>
            <w:tcW w:type="dxa" w:w="2232"/>
            <w:vAlign w:val="center"/>
          </w:tcPr>
          <w:p>
            <w:pPr>
              <w:spacing w:before="60" w:after="60" w:line="240" w:lineRule="auto"/>
              <w:jc w:val="left"/>
            </w:pPr>
            <w:r>
              <w:rPr>
                <w:rFonts w:ascii="Times New Roman" w:hAnsi="Times New Roman"/>
                <w:sz w:val="18"/>
              </w:rPr>
              <w:t>2020Q4</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11</w:t>
            </w:r>
          </w:p>
        </w:tc>
        <w:tc>
          <w:tcPr>
            <w:tcW w:type="dxa" w:w="2304"/>
            <w:vAlign w:val="center"/>
          </w:tcPr>
          <w:p>
            <w:pPr>
              <w:spacing w:before="60" w:after="60" w:line="240" w:lineRule="auto"/>
              <w:jc w:val="right"/>
            </w:pPr>
            <w:r>
              <w:rPr>
                <w:rFonts w:ascii="Times New Roman" w:hAnsi="Times New Roman"/>
                <w:sz w:val="18"/>
              </w:rPr>
              <w:t>11</w:t>
            </w:r>
          </w:p>
        </w:tc>
      </w:tr>
      <w:tr>
        <w:trPr>
          <w:cantSplit/>
        </w:trPr>
        <w:tc>
          <w:tcPr>
            <w:tcW w:type="dxa" w:w="2232"/>
            <w:vAlign w:val="center"/>
          </w:tcPr>
          <w:p>
            <w:pPr>
              <w:spacing w:before="60" w:after="60" w:line="240" w:lineRule="auto"/>
              <w:jc w:val="left"/>
            </w:pPr>
            <w:r>
              <w:rPr>
                <w:rFonts w:ascii="Times New Roman" w:hAnsi="Times New Roman"/>
                <w:sz w:val="18"/>
              </w:rPr>
              <w:t>2021Q1</w:t>
            </w:r>
          </w:p>
        </w:tc>
        <w:tc>
          <w:tcPr>
            <w:tcW w:type="dxa" w:w="2160"/>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9</w:t>
            </w:r>
          </w:p>
        </w:tc>
        <w:tc>
          <w:tcPr>
            <w:tcW w:type="dxa" w:w="2304"/>
            <w:vAlign w:val="center"/>
          </w:tcPr>
          <w:p>
            <w:pPr>
              <w:spacing w:before="60" w:after="60" w:line="240" w:lineRule="auto"/>
              <w:jc w:val="right"/>
            </w:pPr>
            <w:r>
              <w:rPr>
                <w:rFonts w:ascii="Times New Roman" w:hAnsi="Times New Roman"/>
                <w:sz w:val="18"/>
              </w:rPr>
              <w:t>9</w:t>
            </w:r>
          </w:p>
        </w:tc>
      </w:tr>
      <w:tr>
        <w:trPr>
          <w:cantSplit/>
        </w:trPr>
        <w:tc>
          <w:tcPr>
            <w:tcW w:type="dxa" w:w="2232"/>
            <w:vAlign w:val="center"/>
          </w:tcPr>
          <w:p>
            <w:pPr>
              <w:spacing w:before="60" w:after="60" w:line="240" w:lineRule="auto"/>
              <w:jc w:val="left"/>
            </w:pPr>
            <w:r>
              <w:rPr>
                <w:rFonts w:ascii="Times New Roman" w:hAnsi="Times New Roman"/>
                <w:sz w:val="18"/>
              </w:rPr>
              <w:t>2021Q2</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11</w:t>
            </w:r>
          </w:p>
        </w:tc>
        <w:tc>
          <w:tcPr>
            <w:tcW w:type="dxa" w:w="2304"/>
            <w:vAlign w:val="center"/>
          </w:tcPr>
          <w:p>
            <w:pPr>
              <w:spacing w:before="60" w:after="60" w:line="240" w:lineRule="auto"/>
              <w:jc w:val="right"/>
            </w:pPr>
            <w:r>
              <w:rPr>
                <w:rFonts w:ascii="Times New Roman" w:hAnsi="Times New Roman"/>
                <w:sz w:val="18"/>
              </w:rPr>
              <w:t>11</w:t>
            </w:r>
          </w:p>
        </w:tc>
      </w:tr>
      <w:tr>
        <w:trPr>
          <w:cantSplit/>
        </w:trPr>
        <w:tc>
          <w:tcPr>
            <w:tcW w:type="dxa" w:w="2232"/>
            <w:vAlign w:val="center"/>
          </w:tcPr>
          <w:p>
            <w:pPr>
              <w:spacing w:before="60" w:after="60" w:line="240" w:lineRule="auto"/>
              <w:jc w:val="left"/>
            </w:pPr>
            <w:r>
              <w:rPr>
                <w:rFonts w:ascii="Times New Roman" w:hAnsi="Times New Roman"/>
                <w:sz w:val="18"/>
              </w:rPr>
              <w:t>2021Q3</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13</w:t>
            </w:r>
          </w:p>
        </w:tc>
      </w:tr>
      <w:tr>
        <w:trPr>
          <w:cantSplit/>
        </w:trPr>
        <w:tc>
          <w:tcPr>
            <w:tcW w:type="dxa" w:w="2232"/>
            <w:vAlign w:val="center"/>
          </w:tcPr>
          <w:p>
            <w:pPr>
              <w:spacing w:before="60" w:after="60" w:line="240" w:lineRule="auto"/>
              <w:jc w:val="left"/>
            </w:pPr>
            <w:r>
              <w:rPr>
                <w:rFonts w:ascii="Times New Roman" w:hAnsi="Times New Roman"/>
                <w:sz w:val="18"/>
              </w:rPr>
              <w:t>2021Q4</w:t>
            </w:r>
          </w:p>
        </w:tc>
        <w:tc>
          <w:tcPr>
            <w:tcW w:type="dxa" w:w="2160"/>
            <w:vAlign w:val="center"/>
          </w:tcPr>
          <w:p>
            <w:pPr>
              <w:spacing w:before="60" w:after="60" w:line="240" w:lineRule="auto"/>
              <w:jc w:val="right"/>
            </w:pPr>
            <w:r>
              <w:rPr>
                <w:rFonts w:ascii="Times New Roman" w:hAnsi="Times New Roman"/>
                <w:sz w:val="18"/>
              </w:rPr>
              <w:t>16</w:t>
            </w:r>
          </w:p>
        </w:tc>
        <w:tc>
          <w:tcPr>
            <w:tcW w:type="dxa" w:w="2304"/>
            <w:vAlign w:val="center"/>
          </w:tcPr>
          <w:p>
            <w:pPr>
              <w:spacing w:before="60" w:after="60" w:line="240" w:lineRule="auto"/>
              <w:jc w:val="right"/>
            </w:pPr>
            <w:r>
              <w:rPr>
                <w:rFonts w:ascii="Times New Roman" w:hAnsi="Times New Roman"/>
                <w:sz w:val="18"/>
              </w:rPr>
              <w:t>12</w:t>
            </w:r>
          </w:p>
        </w:tc>
        <w:tc>
          <w:tcPr>
            <w:tcW w:type="dxa" w:w="2304"/>
            <w:vAlign w:val="center"/>
          </w:tcPr>
          <w:p>
            <w:pPr>
              <w:spacing w:before="60" w:after="60" w:line="240" w:lineRule="auto"/>
              <w:jc w:val="right"/>
            </w:pPr>
            <w:r>
              <w:rPr>
                <w:rFonts w:ascii="Times New Roman" w:hAnsi="Times New Roman"/>
                <w:sz w:val="18"/>
              </w:rPr>
              <w:t>12</w:t>
            </w:r>
          </w:p>
        </w:tc>
      </w:tr>
      <w:tr>
        <w:trPr>
          <w:cantSplit/>
        </w:trPr>
        <w:tc>
          <w:tcPr>
            <w:tcW w:type="dxa" w:w="2232"/>
            <w:vAlign w:val="center"/>
          </w:tcPr>
          <w:p>
            <w:pPr>
              <w:spacing w:before="60" w:after="60" w:line="240" w:lineRule="auto"/>
              <w:jc w:val="left"/>
            </w:pPr>
            <w:r>
              <w:rPr>
                <w:rFonts w:ascii="Times New Roman" w:hAnsi="Times New Roman"/>
                <w:sz w:val="18"/>
              </w:rPr>
              <w:t>2022Q1</w:t>
            </w:r>
          </w:p>
        </w:tc>
        <w:tc>
          <w:tcPr>
            <w:tcW w:type="dxa" w:w="2160"/>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11</w:t>
            </w:r>
          </w:p>
        </w:tc>
        <w:tc>
          <w:tcPr>
            <w:tcW w:type="dxa" w:w="2304"/>
            <w:vAlign w:val="center"/>
          </w:tcPr>
          <w:p>
            <w:pPr>
              <w:spacing w:before="60" w:after="60" w:line="240" w:lineRule="auto"/>
              <w:jc w:val="right"/>
            </w:pPr>
            <w:r>
              <w:rPr>
                <w:rFonts w:ascii="Times New Roman" w:hAnsi="Times New Roman"/>
                <w:sz w:val="18"/>
              </w:rPr>
              <w:t>11</w:t>
            </w:r>
          </w:p>
        </w:tc>
      </w:tr>
      <w:tr>
        <w:trPr>
          <w:cantSplit/>
        </w:trPr>
        <w:tc>
          <w:tcPr>
            <w:tcW w:type="dxa" w:w="2232"/>
            <w:vAlign w:val="center"/>
          </w:tcPr>
          <w:p>
            <w:pPr>
              <w:spacing w:before="60" w:after="60" w:line="240" w:lineRule="auto"/>
              <w:jc w:val="left"/>
            </w:pPr>
            <w:r>
              <w:rPr>
                <w:rFonts w:ascii="Times New Roman" w:hAnsi="Times New Roman"/>
                <w:sz w:val="18"/>
              </w:rPr>
              <w:t>2022Q2</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10</w:t>
            </w:r>
          </w:p>
        </w:tc>
        <w:tc>
          <w:tcPr>
            <w:tcW w:type="dxa" w:w="2304"/>
            <w:vAlign w:val="center"/>
          </w:tcPr>
          <w:p>
            <w:pPr>
              <w:spacing w:before="60" w:after="60" w:line="240" w:lineRule="auto"/>
              <w:jc w:val="right"/>
            </w:pPr>
            <w:r>
              <w:rPr>
                <w:rFonts w:ascii="Times New Roman" w:hAnsi="Times New Roman"/>
                <w:sz w:val="18"/>
              </w:rPr>
              <w:t>10</w:t>
            </w:r>
          </w:p>
        </w:tc>
      </w:tr>
      <w:tr>
        <w:trPr>
          <w:cantSplit/>
        </w:trPr>
        <w:tc>
          <w:tcPr>
            <w:tcW w:type="dxa" w:w="2232"/>
            <w:vAlign w:val="center"/>
          </w:tcPr>
          <w:p>
            <w:pPr>
              <w:spacing w:before="60" w:after="60" w:line="240" w:lineRule="auto"/>
              <w:jc w:val="left"/>
            </w:pPr>
            <w:r>
              <w:rPr>
                <w:rFonts w:ascii="Times New Roman" w:hAnsi="Times New Roman"/>
                <w:sz w:val="18"/>
              </w:rPr>
              <w:t>2022Q3</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14</w:t>
            </w:r>
          </w:p>
        </w:tc>
      </w:tr>
      <w:tr>
        <w:trPr>
          <w:cantSplit/>
        </w:trPr>
        <w:tc>
          <w:tcPr>
            <w:tcW w:type="dxa" w:w="2232"/>
            <w:vAlign w:val="center"/>
          </w:tcPr>
          <w:p>
            <w:pPr>
              <w:spacing w:before="60" w:after="60" w:line="240" w:lineRule="auto"/>
              <w:jc w:val="left"/>
            </w:pPr>
            <w:r>
              <w:rPr>
                <w:rFonts w:ascii="Times New Roman" w:hAnsi="Times New Roman"/>
                <w:sz w:val="18"/>
              </w:rPr>
              <w:t>2022Q4</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11</w:t>
            </w:r>
          </w:p>
        </w:tc>
        <w:tc>
          <w:tcPr>
            <w:tcW w:type="dxa" w:w="2304"/>
            <w:vAlign w:val="center"/>
          </w:tcPr>
          <w:p>
            <w:pPr>
              <w:spacing w:before="60" w:after="60" w:line="240" w:lineRule="auto"/>
              <w:jc w:val="right"/>
            </w:pPr>
            <w:r>
              <w:rPr>
                <w:rFonts w:ascii="Times New Roman" w:hAnsi="Times New Roman"/>
                <w:sz w:val="18"/>
              </w:rPr>
              <w:t>0</w:t>
            </w:r>
          </w:p>
        </w:tc>
      </w:tr>
      <w:tr>
        <w:trPr>
          <w:cantSplit/>
        </w:trPr>
        <w:tc>
          <w:tcPr>
            <w:tcW w:type="dxa" w:w="2232"/>
            <w:vAlign w:val="center"/>
          </w:tcPr>
          <w:p>
            <w:pPr>
              <w:spacing w:before="60" w:after="60" w:line="240" w:lineRule="auto"/>
              <w:jc w:val="left"/>
            </w:pPr>
            <w:r>
              <w:rPr>
                <w:rFonts w:ascii="Times New Roman" w:hAnsi="Times New Roman"/>
                <w:sz w:val="18"/>
              </w:rPr>
              <w:t>2023Q1</w:t>
            </w:r>
          </w:p>
        </w:tc>
        <w:tc>
          <w:tcPr>
            <w:tcW w:type="dxa" w:w="2160"/>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12</w:t>
            </w:r>
          </w:p>
        </w:tc>
        <w:tc>
          <w:tcPr>
            <w:tcW w:type="dxa" w:w="2304"/>
            <w:vAlign w:val="center"/>
          </w:tcPr>
          <w:p>
            <w:pPr>
              <w:spacing w:before="60" w:after="60" w:line="240" w:lineRule="auto"/>
              <w:jc w:val="right"/>
            </w:pPr>
            <w:r>
              <w:rPr>
                <w:rFonts w:ascii="Times New Roman" w:hAnsi="Times New Roman"/>
                <w:sz w:val="18"/>
              </w:rPr>
              <w:t>12</w:t>
            </w:r>
          </w:p>
        </w:tc>
      </w:tr>
      <w:tr>
        <w:trPr>
          <w:cantSplit/>
        </w:trPr>
        <w:tc>
          <w:tcPr>
            <w:tcW w:type="dxa" w:w="2232"/>
            <w:vAlign w:val="center"/>
          </w:tcPr>
          <w:p>
            <w:pPr>
              <w:spacing w:before="60" w:after="60" w:line="240" w:lineRule="auto"/>
              <w:jc w:val="left"/>
            </w:pPr>
            <w:r>
              <w:rPr>
                <w:rFonts w:ascii="Times New Roman" w:hAnsi="Times New Roman"/>
                <w:sz w:val="18"/>
              </w:rPr>
              <w:t>2023Q2</w:t>
            </w:r>
          </w:p>
        </w:tc>
        <w:tc>
          <w:tcPr>
            <w:tcW w:type="dxa" w:w="2160"/>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11</w:t>
            </w:r>
          </w:p>
        </w:tc>
        <w:tc>
          <w:tcPr>
            <w:tcW w:type="dxa" w:w="2304"/>
            <w:vAlign w:val="center"/>
          </w:tcPr>
          <w:p>
            <w:pPr>
              <w:spacing w:before="60" w:after="60" w:line="240" w:lineRule="auto"/>
              <w:jc w:val="right"/>
            </w:pPr>
            <w:r>
              <w:rPr>
                <w:rFonts w:ascii="Times New Roman" w:hAnsi="Times New Roman"/>
                <w:sz w:val="18"/>
              </w:rPr>
              <w:t>11</w:t>
            </w:r>
          </w:p>
        </w:tc>
      </w:tr>
      <w:tr>
        <w:trPr>
          <w:cantSplit/>
        </w:trPr>
        <w:tc>
          <w:tcPr>
            <w:tcW w:type="dxa" w:w="2232"/>
            <w:vAlign w:val="center"/>
          </w:tcPr>
          <w:p>
            <w:pPr>
              <w:spacing w:before="60" w:after="60" w:line="240" w:lineRule="auto"/>
              <w:jc w:val="left"/>
            </w:pPr>
            <w:r>
              <w:rPr>
                <w:rFonts w:ascii="Times New Roman" w:hAnsi="Times New Roman"/>
                <w:sz w:val="18"/>
              </w:rPr>
              <w:t>2023Q3</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13</w:t>
            </w:r>
          </w:p>
        </w:tc>
      </w:tr>
      <w:tr>
        <w:trPr>
          <w:cantSplit/>
        </w:trPr>
        <w:tc>
          <w:tcPr>
            <w:tcW w:type="dxa" w:w="2232"/>
            <w:vAlign w:val="center"/>
          </w:tcPr>
          <w:p>
            <w:pPr>
              <w:spacing w:before="60" w:after="60" w:line="240" w:lineRule="auto"/>
              <w:jc w:val="left"/>
            </w:pPr>
            <w:r>
              <w:rPr>
                <w:rFonts w:ascii="Times New Roman" w:hAnsi="Times New Roman"/>
                <w:sz w:val="18"/>
              </w:rPr>
              <w:t>2023Q4</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11</w:t>
            </w:r>
          </w:p>
        </w:tc>
        <w:tc>
          <w:tcPr>
            <w:tcW w:type="dxa" w:w="2304"/>
            <w:vAlign w:val="center"/>
          </w:tcPr>
          <w:p>
            <w:pPr>
              <w:spacing w:before="60" w:after="60" w:line="240" w:lineRule="auto"/>
              <w:jc w:val="right"/>
            </w:pPr>
            <w:r>
              <w:rPr>
                <w:rFonts w:ascii="Times New Roman" w:hAnsi="Times New Roman"/>
                <w:sz w:val="18"/>
              </w:rPr>
              <w:t>0</w:t>
            </w:r>
          </w:p>
        </w:tc>
      </w:tr>
      <w:tr>
        <w:trPr>
          <w:cantSplit/>
        </w:trPr>
        <w:tc>
          <w:tcPr>
            <w:tcW w:type="dxa" w:w="2232"/>
            <w:vAlign w:val="center"/>
          </w:tcPr>
          <w:p>
            <w:pPr>
              <w:spacing w:before="60" w:after="60" w:line="240" w:lineRule="auto"/>
              <w:jc w:val="left"/>
            </w:pPr>
            <w:r>
              <w:rPr>
                <w:rFonts w:ascii="Times New Roman" w:hAnsi="Times New Roman"/>
                <w:sz w:val="18"/>
              </w:rPr>
              <w:t>2024Q1</w:t>
            </w:r>
          </w:p>
        </w:tc>
        <w:tc>
          <w:tcPr>
            <w:tcW w:type="dxa" w:w="2160"/>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10</w:t>
            </w:r>
          </w:p>
        </w:tc>
        <w:tc>
          <w:tcPr>
            <w:tcW w:type="dxa" w:w="2304"/>
            <w:vAlign w:val="center"/>
          </w:tcPr>
          <w:p>
            <w:pPr>
              <w:spacing w:before="60" w:after="60" w:line="240" w:lineRule="auto"/>
              <w:jc w:val="right"/>
            </w:pPr>
            <w:r>
              <w:rPr>
                <w:rFonts w:ascii="Times New Roman" w:hAnsi="Times New Roman"/>
                <w:sz w:val="18"/>
              </w:rPr>
              <w:t>10</w:t>
            </w:r>
          </w:p>
        </w:tc>
      </w:tr>
      <w:tr>
        <w:trPr>
          <w:cantSplit/>
        </w:trPr>
        <w:tc>
          <w:tcPr>
            <w:tcW w:type="dxa" w:w="2232"/>
            <w:vAlign w:val="center"/>
          </w:tcPr>
          <w:p>
            <w:pPr>
              <w:spacing w:before="60" w:after="60" w:line="240" w:lineRule="auto"/>
              <w:jc w:val="left"/>
            </w:pPr>
            <w:r>
              <w:rPr>
                <w:rFonts w:ascii="Times New Roman" w:hAnsi="Times New Roman"/>
                <w:sz w:val="18"/>
              </w:rPr>
              <w:t>2024Q2</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12</w:t>
            </w:r>
          </w:p>
        </w:tc>
        <w:tc>
          <w:tcPr>
            <w:tcW w:type="dxa" w:w="2304"/>
            <w:vAlign w:val="center"/>
          </w:tcPr>
          <w:p>
            <w:pPr>
              <w:spacing w:before="60" w:after="60" w:line="240" w:lineRule="auto"/>
              <w:jc w:val="right"/>
            </w:pPr>
            <w:r>
              <w:rPr>
                <w:rFonts w:ascii="Times New Roman" w:hAnsi="Times New Roman"/>
                <w:sz w:val="18"/>
              </w:rPr>
              <w:t>0</w:t>
            </w:r>
          </w:p>
        </w:tc>
      </w:tr>
      <w:tr>
        <w:trPr>
          <w:cantSplit/>
        </w:trPr>
        <w:tc>
          <w:tcPr>
            <w:tcW w:type="dxa" w:w="2232"/>
            <w:vAlign w:val="center"/>
          </w:tcPr>
          <w:p>
            <w:pPr>
              <w:spacing w:before="60" w:after="60" w:line="240" w:lineRule="auto"/>
              <w:jc w:val="left"/>
            </w:pPr>
            <w:r>
              <w:rPr>
                <w:rFonts w:ascii="Times New Roman" w:hAnsi="Times New Roman"/>
                <w:sz w:val="18"/>
              </w:rPr>
              <w:t>2024Q3</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13</w:t>
            </w:r>
          </w:p>
        </w:tc>
      </w:tr>
      <w:tr>
        <w:trPr>
          <w:cantSplit/>
        </w:trPr>
        <w:tc>
          <w:tcPr>
            <w:tcW w:type="dxa" w:w="2232"/>
            <w:vAlign w:val="center"/>
          </w:tcPr>
          <w:p>
            <w:pPr>
              <w:spacing w:before="60" w:after="60" w:line="240" w:lineRule="auto"/>
              <w:jc w:val="left"/>
            </w:pPr>
            <w:r>
              <w:rPr>
                <w:rFonts w:ascii="Times New Roman" w:hAnsi="Times New Roman"/>
                <w:sz w:val="18"/>
              </w:rPr>
              <w:t>2024Q4</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11</w:t>
            </w:r>
          </w:p>
        </w:tc>
        <w:tc>
          <w:tcPr>
            <w:tcW w:type="dxa" w:w="2304"/>
            <w:vAlign w:val="center"/>
          </w:tcPr>
          <w:p>
            <w:pPr>
              <w:spacing w:before="60" w:after="60" w:line="240" w:lineRule="auto"/>
              <w:jc w:val="right"/>
            </w:pPr>
            <w:r>
              <w:rPr>
                <w:rFonts w:ascii="Times New Roman" w:hAnsi="Times New Roman"/>
                <w:sz w:val="18"/>
              </w:rPr>
              <w:t>11</w:t>
            </w:r>
          </w:p>
        </w:tc>
      </w:tr>
      <w:tr>
        <w:trPr>
          <w:cantSplit/>
        </w:trPr>
        <w:tc>
          <w:tcPr>
            <w:tcW w:type="dxa" w:w="2232"/>
            <w:vAlign w:val="center"/>
          </w:tcPr>
          <w:p>
            <w:pPr>
              <w:spacing w:before="60" w:after="60" w:line="240" w:lineRule="auto"/>
              <w:jc w:val="left"/>
            </w:pPr>
            <w:r>
              <w:rPr>
                <w:rFonts w:ascii="Times New Roman" w:hAnsi="Times New Roman"/>
                <w:sz w:val="18"/>
              </w:rPr>
              <w:t>2025Q1</w:t>
            </w:r>
          </w:p>
        </w:tc>
        <w:tc>
          <w:tcPr>
            <w:tcW w:type="dxa" w:w="2160"/>
            <w:vAlign w:val="center"/>
          </w:tcPr>
          <w:p>
            <w:pPr>
              <w:spacing w:before="60" w:after="60" w:line="240" w:lineRule="auto"/>
              <w:jc w:val="right"/>
            </w:pPr>
            <w:r>
              <w:rPr>
                <w:rFonts w:ascii="Times New Roman" w:hAnsi="Times New Roman"/>
                <w:sz w:val="18"/>
              </w:rPr>
              <w:t>14</w:t>
            </w:r>
          </w:p>
        </w:tc>
        <w:tc>
          <w:tcPr>
            <w:tcW w:type="dxa" w:w="2304"/>
            <w:vAlign w:val="center"/>
          </w:tcPr>
          <w:p>
            <w:pPr>
              <w:spacing w:before="60" w:after="60" w:line="240" w:lineRule="auto"/>
              <w:jc w:val="right"/>
            </w:pPr>
            <w:r>
              <w:rPr>
                <w:rFonts w:ascii="Times New Roman" w:hAnsi="Times New Roman"/>
                <w:sz w:val="18"/>
              </w:rPr>
              <w:t>12</w:t>
            </w:r>
          </w:p>
        </w:tc>
        <w:tc>
          <w:tcPr>
            <w:tcW w:type="dxa" w:w="2304"/>
            <w:vAlign w:val="center"/>
          </w:tcPr>
          <w:p>
            <w:pPr>
              <w:spacing w:before="60" w:after="60" w:line="240" w:lineRule="auto"/>
              <w:jc w:val="right"/>
            </w:pPr>
            <w:r>
              <w:rPr>
                <w:rFonts w:ascii="Times New Roman" w:hAnsi="Times New Roman"/>
                <w:sz w:val="18"/>
              </w:rPr>
              <w:t>11</w:t>
            </w:r>
          </w:p>
        </w:tc>
      </w:tr>
      <w:tr>
        <w:trPr>
          <w:cantSplit/>
        </w:trPr>
        <w:tc>
          <w:tcPr>
            <w:tcW w:type="dxa" w:w="2232"/>
            <w:vAlign w:val="center"/>
          </w:tcPr>
          <w:p>
            <w:pPr>
              <w:spacing w:before="60" w:after="60" w:line="240" w:lineRule="auto"/>
              <w:jc w:val="left"/>
            </w:pPr>
            <w:r>
              <w:rPr>
                <w:rFonts w:ascii="Times New Roman" w:hAnsi="Times New Roman"/>
                <w:sz w:val="18"/>
              </w:rPr>
              <w:t>2025Q2</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10</w:t>
            </w:r>
          </w:p>
        </w:tc>
        <w:tc>
          <w:tcPr>
            <w:tcW w:type="dxa" w:w="2304"/>
            <w:vAlign w:val="center"/>
          </w:tcPr>
          <w:p>
            <w:pPr>
              <w:spacing w:before="60" w:after="60" w:line="240" w:lineRule="auto"/>
              <w:jc w:val="right"/>
            </w:pPr>
            <w:r>
              <w:rPr>
                <w:rFonts w:ascii="Times New Roman" w:hAnsi="Times New Roman"/>
                <w:sz w:val="18"/>
              </w:rPr>
              <w:t>10</w:t>
            </w:r>
          </w:p>
        </w:tc>
      </w:tr>
      <w:tr>
        <w:trPr>
          <w:cantSplit/>
        </w:trPr>
        <w:tc>
          <w:tcPr>
            <w:tcW w:type="dxa" w:w="2232"/>
            <w:vAlign w:val="center"/>
          </w:tcPr>
          <w:p>
            <w:pPr>
              <w:spacing w:before="60" w:after="60" w:line="240" w:lineRule="auto"/>
              <w:jc w:val="left"/>
            </w:pPr>
            <w:r>
              <w:rPr>
                <w:rFonts w:ascii="Times New Roman" w:hAnsi="Times New Roman"/>
                <w:sz w:val="18"/>
              </w:rPr>
              <w:t>2025Q3</w:t>
            </w:r>
          </w:p>
        </w:tc>
        <w:tc>
          <w:tcPr>
            <w:tcW w:type="dxa" w:w="2160"/>
            <w:vAlign w:val="center"/>
          </w:tcPr>
          <w:p>
            <w:pPr>
              <w:spacing w:before="60" w:after="60" w:line="240" w:lineRule="auto"/>
              <w:jc w:val="right"/>
            </w:pPr>
            <w:r>
              <w:rPr>
                <w:rFonts w:ascii="Times New Roman" w:hAnsi="Times New Roman"/>
                <w:sz w:val="18"/>
              </w:rPr>
              <w:t>15</w:t>
            </w:r>
          </w:p>
        </w:tc>
        <w:tc>
          <w:tcPr>
            <w:tcW w:type="dxa" w:w="2304"/>
            <w:vAlign w:val="center"/>
          </w:tcPr>
          <w:p>
            <w:pPr>
              <w:spacing w:before="60" w:after="60" w:line="240" w:lineRule="auto"/>
              <w:jc w:val="right"/>
            </w:pPr>
            <w:r>
              <w:rPr>
                <w:rFonts w:ascii="Times New Roman" w:hAnsi="Times New Roman"/>
                <w:sz w:val="18"/>
              </w:rPr>
              <w:t>13</w:t>
            </w:r>
          </w:p>
        </w:tc>
        <w:tc>
          <w:tcPr>
            <w:tcW w:type="dxa" w:w="2304"/>
            <w:vAlign w:val="center"/>
          </w:tcPr>
          <w:p>
            <w:pPr>
              <w:spacing w:before="60" w:after="60" w:line="240" w:lineRule="auto"/>
              <w:jc w:val="right"/>
            </w:pPr>
            <w:r>
              <w:rPr>
                <w:rFonts w:ascii="Times New Roman" w:hAnsi="Times New Roman"/>
                <w:sz w:val="18"/>
              </w:rPr>
              <w:t>13</w:t>
            </w:r>
          </w:p>
        </w:tc>
      </w:tr>
      <w:tr>
        <w:trPr>
          <w:cantSplit/>
        </w:trPr>
        <w:tc>
          <w:tcPr>
            <w:tcW w:type="dxa" w:w="2232"/>
            <w:vAlign w:val="center"/>
          </w:tcPr>
          <w:p>
            <w:pPr>
              <w:spacing w:before="60" w:after="60" w:line="240" w:lineRule="auto"/>
              <w:jc w:val="left"/>
            </w:pPr>
            <w:r>
              <w:rPr>
                <w:rFonts w:ascii="Times New Roman" w:hAnsi="Times New Roman"/>
                <w:sz w:val="18"/>
              </w:rPr>
              <w:t>2025Q4</w:t>
            </w:r>
          </w:p>
        </w:tc>
        <w:tc>
          <w:tcPr>
            <w:tcW w:type="dxa" w:w="2160"/>
            <w:vAlign w:val="center"/>
          </w:tcPr>
          <w:p>
            <w:pPr>
              <w:spacing w:before="60" w:after="60" w:line="240" w:lineRule="auto"/>
              <w:jc w:val="right"/>
            </w:pPr>
            <w:r>
              <w:rPr>
                <w:rFonts w:ascii="Times New Roman" w:hAnsi="Times New Roman"/>
                <w:sz w:val="18"/>
              </w:rPr>
              <w:t>16</w:t>
            </w:r>
          </w:p>
        </w:tc>
        <w:tc>
          <w:tcPr>
            <w:tcW w:type="dxa" w:w="2304"/>
            <w:vAlign w:val="center"/>
          </w:tcPr>
          <w:p>
            <w:pPr>
              <w:spacing w:before="60" w:after="60" w:line="240" w:lineRule="auto"/>
              <w:jc w:val="right"/>
            </w:pPr>
            <w:r>
              <w:rPr>
                <w:rFonts w:ascii="Times New Roman" w:hAnsi="Times New Roman"/>
                <w:sz w:val="18"/>
              </w:rPr>
              <w:t>10</w:t>
            </w:r>
          </w:p>
        </w:tc>
        <w:tc>
          <w:tcPr>
            <w:tcW w:type="dxa" w:w="2304"/>
            <w:vAlign w:val="center"/>
          </w:tcPr>
          <w:p>
            <w:pPr>
              <w:spacing w:before="60" w:after="60" w:line="240" w:lineRule="auto"/>
              <w:jc w:val="right"/>
            </w:pPr>
            <w:r>
              <w:rPr>
                <w:rFonts w:ascii="Times New Roman" w:hAnsi="Times New Roman"/>
                <w:sz w:val="18"/>
              </w:rPr>
              <w:t>10</w:t>
            </w:r>
          </w:p>
        </w:tc>
      </w:tr>
    </w:tbl>
    <w:p>
      <w:pPr>
        <w:pStyle w:val="FirstParagraph"/>
        <w:spacing w:after="160"/>
      </w:pPr>
      <w:r>
        <w:rPr>
          <w:sz w:val="18"/>
        </w:rPr>
        <w:t>Note: Page numbers reproduce the targeted local definition record, not a new page-by-page PDF inspection by this reviewer. The machine-readable SOURCE_DEFINITION_CHECK.json and FULL24_SOURCE_INDEX.json carry each exact report URL and SHA-256. Three quarters contribute no eligible reference observations; one additional source-date conflict is excluded in 2025Q1. The underlying official reports and row-level price panels are not republished here. No native tick stream, quote age or complete UTC deadline history is certified by these locators.</w:t>
      </w:r>
    </w:p>
    <w:p>
      <w:pPr>
        <w:pStyle w:val="FirstParagraph"/>
      </w:pPr>
      <w:r>
        <w:t>Data-access statement: the historical EEX quantity input and aggregate price outputs have fixed repository identifiers. The author-held reported-price rows are not part of the public replication package because bulk redistribution permissions remain unresolved. Reviewers can inspect the released analysis code, sample restrictions and aggregate evidence, but independent refitting requires lawful access to those exact rows. Before submission, the authors must finalize a journal-acceptable access route. The separate 2026 quantity snapshot limitation in Section S11 remains unchanged; no fresh data acquisition was performed for this integration.</w:t>
      </w:r>
    </w:p>
    <w:p>
      <w:pPr>
        <w:pStyle w:val="Heading3"/>
        <w:widowControl/>
      </w:pPr>
      <w:r>
        <w:t>Additional references</w:t>
      </w:r>
    </w:p>
    <w:p>
      <w:pPr>
        <w:pStyle w:val="FirstParagraph"/>
      </w:pPr>
      <w:r>
        <w:t>German Emissions Trading Authority (DEHSt) (2020–2025) Quarterly reports on German auctions of emission allowances. Umweltbundesamt, Berlin. Report-specific editions, Table 4 page locators and source URLs are recorded in Online Resource 1, Section S17, and the accompanying source ledger.</w:t>
      </w:r>
    </w:p>
    <w:p>
      <w:pPr>
        <w:pStyle w:val="BodyText"/>
        <w:widowControl/>
      </w:pPr>
      <w:r>
        <w:t>Li F, Morgan KL, Zaslavsky AM (2018) Balancing covariates via propensity score weighting. Journal of the American Statistical Association 113:390–400. https://doi.org/10.1080/01621459.2016.1260466</w:t>
      </w:r>
    </w:p>
    <w:p>
      <w:pPr>
        <w:pStyle w:val="FirstParagraph"/>
      </w:pPr>
      <w:r>
        <w:t>MacKinnon JG, Nielsen MØ, Webb MD (2023) Fast and reliable jackknife and bootstrap methods for cluster-robust inference. Journal of Applied Econometrics 38:671–694. https://doi.org/10.1002/jae.2969</w:t>
      </w:r>
    </w:p>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dispersion and reported price deviations in European carbon auctions</dc:title>
  <dc:creator>Zhongfei Tian; Xiang Wang</dc:creator>
  <cp:keywords>EUA; auctions; quantity dispersion; conditional association</cp:keywords>
  <dcterms:created xsi:type="dcterms:W3CDTF">2026-10-10T00:00:00Z</dcterms:created>
  <dcterms:modified xsi:type="dcterms:W3CDTF">2026-10-11T12:00:00Z</dcterms:modified>
  <cp:lastModifiedBy/>
  <dc:subject>Integrated author-review v9; completed price evidence, no new fits</dc:subject>
  <dc:description>Funding absence and preceding Wang review recorded; unresolved declarations retained.</dc:description>
</cp:coreProperties>
</file>

<file path=docProps/custom.xml><?xml version="1.0" encoding="utf-8"?>
<Properties xmlns="http://schemas.openxmlformats.org/officeDocument/2006/custom-properties" xmlns:vt="http://schemas.openxmlformats.org/officeDocument/2006/docPropsVTypes"/>
</file>