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 xml:space="preserve">Online Resource 1</w:t>
      </w:r>
    </w:p>
    <w:bookmarkStart w:id="29" w:name="X065e04b343dfa58b6551447c0e40a575f42572b"/>
    <w:p>
      <w:pPr>
        <w:pStyle w:val="Heading2"/>
        <w:widowControl/>
      </w:pPr>
      <w:r>
        <w:t xml:space="preserve">Bid and award dispersion in European carbon auctions</w:t>
      </w:r>
    </w:p>
    <w:p>
      <w:pPr>
        <w:pStyle w:val="FirstParagraph"/>
        <w:widowControl/>
        <w:spacing w:after="200"/>
        <w:jc w:val="center"/>
      </w:pPr>
      <w:r>
        <w:t>Conditional association and composition sensitivity</w:t>
      </w:r>
    </w:p>
    <w:p>
      <w:pPr>
        <w:pStyle w:val="BodyText"/>
        <w:widowControl/>
      </w:pPr>
      <w:r>
        <w:rPr>
          <w:b w:val="0"/>
          <w:bCs/>
        </w:rPr>
        <w:t>Journal: Empirical Economics (intended submission; not yet submitted)</w:t>
        <w:br/>
        <w:t>Authors: Zhongfei Tian; Xiang Wang</w:t>
        <w:br/>
        <w:t>Affiliation: Zhengzhou University of Aeronautics, Zhengzhou, Henan, China</w:t>
        <w:br/>
        <w:t>Corresponding author: Zhongfei Tian, 15517837680@163.com</w:t>
        <w:br/>
        <w:t>Version: Author-review v8, 10 October 2026</w:t>
      </w:r>
    </w:p>
    <w:bookmarkStart w:id="20" w:name="s1-purpose-and-fixed-numerical-record"/>
    <w:p>
      <w:pPr>
        <w:pStyle w:val="Heading3"/>
        <w:widowControl/>
      </w:pPr>
      <w:r>
        <w:t xml:space="preserve">S1 Purpose and fixed numerical record</w:t>
      </w:r>
    </w:p>
    <w:p>
      <w:pPr>
        <w:pStyle w:val="FirstParagraph"/>
        <w:widowControl/>
      </w:pPr>
      <w:r>
        <w:t>This resource documents the historical estimates and later supplementary analyses without combining them into one confirmatory study. Sections S1–S9 retain the original numerical results. Sections S10–S12 cover composition weighting, the separate 2026 sample, finite resampling diagnostics and the uncompleted price-reference analysis. Section S13 maps estimands to their evidence roles. This editorial revision changes no estimate, resample, eligibility rule or previously reported table value.</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participants, not number of successful orders</w:t>
            </w:r>
          </w:p>
        </w:tc>
      </w:tr>
    </w:tbl>
    <w:p>
      <w:pPr>
        <w:pStyle w:val="BodyText"/>
        <w:keepLines/>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[0.5526, 0.7493]</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0.6930</w:t>
            </w:r>
          </w:p>
        </w:tc>
      </w:tr>
    </w:tbl>
    <w:p>
      <w:pPr>
        <w:pStyle w:val="BodyText"/>
        <w:keepLines/>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0.8138 [0.7005, 0.8850]</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rPr>
          <w:rFonts w:ascii="Times New Roman" w:hAnsi="Times New Roman" w:cs="Times New Roman"/>
          <w:sz w:val="23"/>
          <w:lang w:val="en-GB"/>
        </w:rPr>
        <w:t xml:space="preserve">The numerical reimplementations use the same archive and are not independent-market replications. Fitting counts are execution bookkeeping, not sample sizes. The scope of the evidence is reported-field association conditional on successful auctions. Author order and the corresponding contact have been supplied for this revision. The corresponding author has confirmed that the research received no financial support and that Xiang Wang has reviewed the manuscript. Competing interests, actual contributions, AI-use disclosure and data permissions remain separate author declarations.</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The original numeric ledgers are retained in the preceding v7 companion package. The current package supplies a newly generated display inventory in tables/DISPLAY_NUMERICS_V8.csv and a locator in REPRODUCIBILITY.md that points to fixed repository outputs. A display inventory checks editorial preservation; it does not replace raw-input verification or statistical replication. Historical descriptions and figure inputs have not been recalculated.</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0.6486 [0.5660,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p>
      <w:pPr>
        <w:pStyle w:val="Heading3"/>
        <w:widowControl/>
      </w:pPr>
      <w:r>
        <w:t>S10 Composition-standardization protocol and results</w:t>
      </w:r>
    </w:p>
    <w:p>
      <w:pPr>
        <w:pStyle w:val="BodyText"/>
        <w:widowControl/>
      </w:pPr>
      <w: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widowControl/>
      </w:pPr>
      <w: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BodyText"/>
        <w:keepNext/>
        <w:widowControl/>
        <w:spacing w:after="80"/>
      </w:pPr>
      <w:r>
        <w:rPr>
          <w:b/>
          <w:sz w:val="21"/>
        </w:rPr>
        <w:t>Table S7 Weighted contrasts and paired changes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680"/>
        <w:gridCol w:w="2438"/>
        <w:gridCol w:w="1134"/>
        <w:gridCol w:w="2494"/>
        <w:gridCol w:w="2551"/>
      </w:tblGrid>
      <w:tr>
        <w:trPr>
          <w:cantSplit/>
          <w:tblHeader/>
        </w:trPr>
        <w:tc>
          <w:tcPr>
            <w:tcW w:type="dxa" w:w="68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243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Contrast</w:t>
            </w:r>
          </w:p>
        </w:tc>
        <w:tc>
          <w:tcPr>
            <w:tcW w:type="dxa" w:w="113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Estimate</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95% interval</w:t>
            </w:r>
          </w:p>
        </w:tc>
        <w:tc>
          <w:tcPr>
            <w:tcW w:type="dxa" w:w="255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[0.1084, 0.2910]</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[-0.1349, 0.0802]</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[-0.1520, 0.0915]</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Weighted difference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[0.0982, 0.2843]</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68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2438"/>
            <w:tcMar>
              <w:top w:w="65" w:type="dxa"/>
              <w:bottom w:w="65" w:type="dxa"/>
              <w:left w:w="70" w:type="dxa"/>
              <w:right w:w="70" w:type="dxa"/>
            </w:tcMar>
          </w:tcPr>
          <w:p>
            <w:pPr>
              <w:keepNext/>
              <w:spacing w:before="0" w:after="0" w:line="252" w:lineRule="auto"/>
            </w:pPr>
            <w:r>
              <w:rPr>
                <w:rFonts w:ascii="Times New Roman" w:hAnsi="Times New Roman"/>
                <w:b w:val="0"/>
                <w:sz w:val="19"/>
              </w:rPr>
              <w:t>Weighting-induced change</w:t>
            </w:r>
          </w:p>
        </w:tc>
        <w:tc>
          <w:tcPr>
            <w:tcW w:type="dxa" w:w="1134"/>
            <w:tcMar>
              <w:top w:w="65" w:type="dxa"/>
              <w:bottom w:w="65" w:type="dxa"/>
              <w:left w:w="70" w:type="dxa"/>
              <w:right w:w="70" w:type="dxa"/>
            </w:tcMar>
          </w:tcPr>
          <w:p>
            <w:pPr>
              <w:keepNext/>
              <w:spacing w:before="0" w:after="0" w:line="252" w:lineRule="auto"/>
            </w:pPr>
            <w:r>
              <w:rPr>
                <w:rFonts w:ascii="Times New Roman" w:hAnsi="Times New Roman"/>
                <w:b w:val="0"/>
                <w:sz w:val="19"/>
              </w:rPr>
              <w:t>-0.0368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[-0.1449, 0.0797]</w:t>
            </w:r>
          </w:p>
        </w:tc>
        <w:tc>
          <w:tcPr>
            <w:tcW w:type="dxa" w:w="2551"/>
            <w:tcMar>
              <w:top w:w="65" w:type="dxa"/>
              <w:bottom w:w="65" w:type="dxa"/>
              <w:left w:w="70" w:type="dxa"/>
              <w:right w:w="70" w:type="dxa"/>
            </w:tcMar>
          </w:tcPr>
          <w:p>
            <w:pPr>
              <w:keepNext/>
              <w:spacing w:before="0" w:after="0" w:line="252" w:lineRule="auto"/>
            </w:pPr>
            <w:r>
              <w:rPr>
                <w:rFonts w:ascii="Times New Roman" w:hAnsi="Times New Roman"/>
                <w:b w:val="0"/>
                <w:sz w:val="19"/>
              </w:rPr>
              <w:t>[-0.1668, 0.0942]</w:t>
            </w:r>
          </w:p>
        </w:tc>
      </w:tr>
    </w:tbl>
    <w:p>
      <w:pPr>
        <w:pStyle w:val="BodyText"/>
        <w:keepLines/>
        <w:widowControl/>
        <w:spacing w:line="250" w:lineRule="auto" w:after="160"/>
      </w:pPr>
      <w:r>
        <w:rPr>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BodyText"/>
        <w:keepNext/>
        <w:widowControl/>
        <w:spacing w:after="80"/>
      </w:pPr>
      <w:r>
        <w:rPr>
          <w:b/>
          <w:sz w:val="21"/>
        </w:rPr>
        <w:t>Table S8 Block-length sensitivity of the weighted correlation difference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417"/>
        <w:gridCol w:w="1701"/>
        <w:gridCol w:w="3061"/>
        <w:gridCol w:w="3118"/>
      </w:tblGrid>
      <w:tr>
        <w:trPr>
          <w:cantSplit/>
          <w:tblHeader/>
        </w:trPr>
        <w:tc>
          <w:tcPr>
            <w:tcW w:type="dxa" w:w="1417"/>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Block months</w:t>
            </w:r>
          </w:p>
        </w:tc>
        <w:tc>
          <w:tcPr>
            <w:tcW w:type="dxa" w:w="170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Tuples sampled</w:t>
            </w:r>
          </w:p>
        </w:tc>
        <w:tc>
          <w:tcPr>
            <w:tcW w:type="dxa" w:w="30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 97.5% interval</w:t>
            </w:r>
          </w:p>
        </w:tc>
        <w:tc>
          <w:tcPr>
            <w:tcW w:type="dxa" w:w="3118"/>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 97.5% interval</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1</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[0.0991, 0.3018]</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[0.0916, 0.3033]</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3</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999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r>
        <w:trPr>
          <w:cantSplit/>
        </w:trPr>
        <w:tc>
          <w:tcPr>
            <w:tcW w:type="dxa" w:w="1417"/>
            <w:tcMar>
              <w:top w:w="65" w:type="dxa"/>
              <w:bottom w:w="65" w:type="dxa"/>
              <w:left w:w="70" w:type="dxa"/>
              <w:right w:w="70" w:type="dxa"/>
            </w:tcMar>
          </w:tcPr>
          <w:p>
            <w:pPr>
              <w:keepNext/>
              <w:spacing w:before="0" w:after="0" w:line="252" w:lineRule="auto"/>
            </w:pPr>
            <w:r>
              <w:rPr>
                <w:rFonts w:ascii="Times New Roman" w:hAnsi="Times New Roman"/>
                <w:b w:val="0"/>
                <w:sz w:val="19"/>
              </w:rPr>
              <w:t>6</w:t>
            </w:r>
          </w:p>
        </w:tc>
        <w:tc>
          <w:tcPr>
            <w:tcW w:type="dxa" w:w="1701"/>
            <w:tcMar>
              <w:top w:w="65" w:type="dxa"/>
              <w:bottom w:w="65" w:type="dxa"/>
              <w:left w:w="70" w:type="dxa"/>
              <w:right w:w="70" w:type="dxa"/>
            </w:tcMar>
          </w:tcPr>
          <w:p>
            <w:pPr>
              <w:keepNext/>
              <w:spacing w:before="0" w:after="0" w:line="252" w:lineRule="auto"/>
            </w:pPr>
            <w:r>
              <w:rPr>
                <w:rFonts w:ascii="Times New Roman" w:hAnsi="Times New Roman"/>
                <w:b w:val="0"/>
                <w:sz w:val="19"/>
              </w:rPr>
              <w:t>199</w:t>
            </w:r>
          </w:p>
        </w:tc>
        <w:tc>
          <w:tcPr>
            <w:tcW w:type="dxa" w:w="3061"/>
            <w:tcMar>
              <w:top w:w="65" w:type="dxa"/>
              <w:bottom w:w="65" w:type="dxa"/>
              <w:left w:w="70" w:type="dxa"/>
              <w:right w:w="70" w:type="dxa"/>
            </w:tcMar>
          </w:tcPr>
          <w:p>
            <w:pPr>
              <w:keepNext/>
              <w:spacing w:before="0" w:after="0" w:line="252" w:lineRule="auto"/>
            </w:pPr>
            <w:r>
              <w:rPr>
                <w:rFonts w:ascii="Times New Roman" w:hAnsi="Times New Roman"/>
                <w:b w:val="0"/>
                <w:sz w:val="19"/>
              </w:rPr>
              <w:t>[0.1049, 0.2881]</w:t>
            </w:r>
          </w:p>
        </w:tc>
        <w:tc>
          <w:tcPr>
            <w:tcW w:type="dxa" w:w="3118"/>
            <w:tcMar>
              <w:top w:w="65" w:type="dxa"/>
              <w:bottom w:w="65" w:type="dxa"/>
              <w:left w:w="70" w:type="dxa"/>
              <w:right w:w="70" w:type="dxa"/>
            </w:tcMar>
          </w:tcPr>
          <w:p>
            <w:pPr>
              <w:keepNext/>
              <w:spacing w:before="0" w:after="0" w:line="252" w:lineRule="auto"/>
            </w:pPr>
            <w:r>
              <w:rPr>
                <w:rFonts w:ascii="Times New Roman" w:hAnsi="Times New Roman"/>
                <w:b w:val="0"/>
                <w:sz w:val="19"/>
              </w:rPr>
              <w:t>[0.0996, 0.2780]</w:t>
            </w:r>
          </w:p>
        </w:tc>
      </w:tr>
    </w:tbl>
    <w:p>
      <w:pPr>
        <w:pStyle w:val="BodyText"/>
        <w:keepLines/>
        <w:widowControl/>
        <w:spacing w:line="250" w:lineRule="auto" w:after="160"/>
      </w:pPr>
      <w:r>
        <w:rPr>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5, not suppressed.</w:t>
      </w:r>
    </w:p>
    <w:p>
      <w:pPr>
        <w:pStyle w:val="Heading3"/>
        <w:widowControl/>
      </w:pPr>
      <w:r>
        <w:t>S11 Additional 2026 sample and finite block sensitivity</w:t>
      </w:r>
    </w:p>
    <w:p>
      <w:pPr>
        <w:pStyle w:val="BodyText"/>
        <w:widowControl/>
      </w:pPr>
      <w:r>
        <w:t>The E3 record reports a download on 10 October 2026 at 13:33:15 UTC; E3R retrieved the same URL at 14:12:19 UTC. Both records identify 72,742 bytes and SHA-256 54e6fb649872d229333adb29b62a3ff5b7fddd7393facc047050fb8f87a1bf3d. E3R rebuilt the January–September eligibility set, excluding seven October rows from 173 dated records and retaining 166 auctions; the point estimates matched E3. This is a repeated implementation on the same snapshot, not an independent market replication, first-release audit or certification of standard-deviation populations.</w:t>
      </w:r>
    </w:p>
    <w:p>
      <w:pPr>
        <w:pStyle w:val="BodyText"/>
        <w:keepNext/>
        <w:widowControl/>
        <w:spacing w:after="80"/>
      </w:pPr>
      <w:r>
        <w:rPr>
          <w:b/>
          <w:sz w:val="21"/>
        </w:rPr>
        <w:t>Table S9 The 2026 association and short-axis diagnostic ranges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309"/>
        <w:gridCol w:w="2494"/>
        <w:gridCol w:w="2494"/>
      </w:tblGrid>
      <w:tr>
        <w:trPr>
          <w:cantSplit/>
          <w:tblHeader/>
        </w:trPr>
        <w:tc>
          <w:tcPr>
            <w:tcW w:type="dxa" w:w="4309"/>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Quantity / diagnostic</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A</w:t>
            </w:r>
          </w:p>
        </w:tc>
        <w:tc>
          <w:tcPr>
            <w:tcW w:type="dxa" w:w="249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C</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Slope β</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1.3137</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1.2375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Residual correlation θ</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0.8494</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0.8350</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Original 999-draw θ interval</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[0.8123,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[0.7832,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Non-circular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[0.8094, 0.9149]</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[0.7757, 0.9156]</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Circular finite θ percentiles</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[0.8064, 0.9048]</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[0.7731, 0.9055]</w:t>
            </w:r>
          </w:p>
        </w:tc>
      </w:tr>
      <w:tr>
        <w:trPr>
          <w:cantSplit/>
        </w:trPr>
        <w:tc>
          <w:tcPr>
            <w:tcW w:type="dxa" w:w="4309"/>
            <w:tcMar>
              <w:top w:w="65" w:type="dxa"/>
              <w:bottom w:w="65" w:type="dxa"/>
              <w:left w:w="70" w:type="dxa"/>
              <w:right w:w="70" w:type="dxa"/>
            </w:tcMar>
          </w:tcPr>
          <w:p>
            <w:pPr>
              <w:keepNext/>
              <w:spacing w:before="0" w:after="0" w:line="252" w:lineRule="auto"/>
            </w:pPr>
            <w:r>
              <w:rPr>
                <w:rFonts w:ascii="Times New Roman" w:hAnsi="Times New Roman"/>
                <w:b w:val="0"/>
                <w:sz w:val="19"/>
              </w:rPr>
              <w:t>Leave-one-month-out θ range</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[0.8396, 0.8626]</w:t>
            </w:r>
          </w:p>
        </w:tc>
        <w:tc>
          <w:tcPr>
            <w:tcW w:type="dxa" w:w="2494"/>
            <w:tcMar>
              <w:top w:w="65" w:type="dxa"/>
              <w:bottom w:w="65" w:type="dxa"/>
              <w:left w:w="70" w:type="dxa"/>
              <w:right w:w="70" w:type="dxa"/>
            </w:tcMar>
          </w:tcPr>
          <w:p>
            <w:pPr>
              <w:keepNext/>
              <w:spacing w:before="0" w:after="0" w:line="252" w:lineRule="auto"/>
            </w:pPr>
            <w:r>
              <w:rPr>
                <w:rFonts w:ascii="Times New Roman" w:hAnsi="Times New Roman"/>
                <w:b w:val="0"/>
                <w:sz w:val="19"/>
              </w:rPr>
              <w:t>[0.8230, 0.8569]</w:t>
            </w:r>
          </w:p>
        </w:tc>
      </w:tr>
    </w:tbl>
    <w:p>
      <w:pPr>
        <w:pStyle w:val="BodyText"/>
        <w:keepLines/>
        <w:widowControl/>
        <w:spacing w:line="250" w:lineRule="auto" w:after="160"/>
      </w:pPr>
      <w:r>
        <w:rPr>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widowControl/>
      </w:pPr>
      <w: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widowControl/>
      </w:pPr>
      <w:r>
        <w:t>E3R records 2,164 primary projection requests and eight explicit-dummy numerical cross-checks, with no failures and maximum implementation difference 4.60×10⁻¹⁴. Its six synthetic checks assess enumeration, multiplicities and projection code. These execution counts are not observations. Complete outputs are at research/eex_integration_checks_20261010/results, commit 35d8c63fc57173f67eb0bd8bb570eb289188324f; they have not been re-estimated for v8.</w:t>
      </w:r>
    </w:p>
    <w:p>
      <w:pPr>
        <w:pStyle w:val="Heading3"/>
        <w:widowControl/>
      </w:pPr>
      <w:r>
        <w:t>S12 Price-reference gate and reproduction boundary</w:t>
      </w:r>
    </w:p>
    <w:p>
      <w:pPr>
        <w:pStyle w:val="BodyText"/>
        <w:widowControl/>
      </w:pPr>
      <w:r>
        <w:t>The intended external-price association requires one valid secondary-market reference per auction, a compatible allowance product, and a documented quote type and bidding-window-close timestamp. European Commission (2023), Section 1.1.1, reports monthly differences against a closing-window EEX spot midpoint; Annex 2 supplies individual auction and bid-price fields. The parsed text did not provide the per-auction reference series required for the proposed regression. This is not a claim that all official reports lack such data.</w:t>
      </w:r>
    </w:p>
    <w:p>
      <w:pPr>
        <w:pStyle w:val="BodyText"/>
        <w:widowControl/>
      </w:pPr>
      <w:r>
        <w:t>No eligible per-auction secondary-market reference series was acquired. No graph digitization, monthly-to-auction replication, daily-close replacement or price regression was performed. E2 remains a missing external validation, not a negative finding about price informativeness. Source access levels and failed downloads are recorded separately in the repository source ledger.</w:t>
      </w:r>
    </w:p>
    <w:p>
      <w:pPr>
        <w:pStyle w:val="BodyText"/>
        <w:widowControl/>
      </w:pPr>
      <w:r>
        <w:t>Code and aggregate outputs are fixed in the repository revisions listed in REPRODUCIBILITY.md. The dynamic 2026 source URL is https://public.eex-group.com/eex/eua-auction-report/emission-spot-primary-market-auction-report-2026-data.xlsx. The exact raw snapshot is not included in this package; temporary download files were not retained in the published diagnostic artifact. Full raw-data reproduction of that extension still requires a lawfully available matching snapshot. A source hash proves identity only when the corresponding bytes can be obtained; it is not itself an archive.</w:t>
      </w:r>
    </w:p>
    <w:p>
      <w:pPr>
        <w:pStyle w:val="Heading3"/>
        <w:pageBreakBefore/>
      </w:pPr>
      <w:r>
        <w:t>S13 Estimands and evidence status</w:t>
      </w:r>
    </w:p>
    <w:p>
      <w:pPr>
        <w:keepNext/>
      </w:pPr>
      <w:r>
        <w:t>Table S10 records the role of each analysis in the research sequence. Different transformations, uncertainty levels and later checks are not interchangeable confirmations. The labels describe recorded analysis roles, not a prospectively registered design.</w:t>
      </w:r>
    </w:p>
    <w:p>
      <w:pPr>
        <w:keepNext/>
      </w:pPr>
      <w:r>
        <w:t>Table S10 Evidence roles and limits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14"/>
        <w:gridCol w:w="2438"/>
        <w:gridCol w:w="2551"/>
        <w:gridCol w:w="2494"/>
      </w:tblGrid>
      <w:tr>
        <w:trPr>
          <w:cantSplit/>
          <w:tblHeader/>
        </w:trPr>
        <w:tc>
          <w:tcPr>
            <w:tcW w:type="dxa" w:w="1814"/>
            <w:vAlign w:val="center"/>
            <w:tcBorders>
              <w:bottom w:val="single" w:sz="4"/>
            </w:tcBorders>
          </w:tcPr>
          <w:p>
            <w:pPr>
              <w:keepNext/>
              <w:spacing w:before="0" w:after="80" w:line="254" w:lineRule="auto"/>
            </w:pPr>
            <w:r>
              <w:rPr>
                <w:rFonts w:ascii="Times New Roman" w:hAnsi="Times New Roman"/>
                <w:b/>
                <w:sz w:val="19"/>
              </w:rPr>
              <w:t>Analysis</w:t>
            </w:r>
          </w:p>
        </w:tc>
        <w:tc>
          <w:tcPr>
            <w:tcW w:type="dxa" w:w="2438"/>
            <w:vAlign w:val="center"/>
            <w:tcBorders>
              <w:bottom w:val="single" w:sz="4"/>
            </w:tcBorders>
          </w:tcPr>
          <w:p>
            <w:pPr>
              <w:keepNext/>
              <w:spacing w:before="0" w:after="80" w:line="254" w:lineRule="auto"/>
            </w:pPr>
            <w:r>
              <w:rPr>
                <w:rFonts w:ascii="Times New Roman" w:hAnsi="Times New Roman"/>
                <w:b/>
                <w:sz w:val="19"/>
              </w:rPr>
              <w:t>Estimand</w:t>
            </w:r>
          </w:p>
        </w:tc>
        <w:tc>
          <w:tcPr>
            <w:tcW w:type="dxa" w:w="2551"/>
            <w:vAlign w:val="center"/>
            <w:tcBorders>
              <w:bottom w:val="single" w:sz="4"/>
            </w:tcBorders>
          </w:tcPr>
          <w:p>
            <w:pPr>
              <w:keepNext/>
              <w:spacing w:before="0" w:after="80" w:line="254" w:lineRule="auto"/>
            </w:pPr>
            <w:r>
              <w:rPr>
                <w:rFonts w:ascii="Times New Roman" w:hAnsi="Times New Roman"/>
                <w:b/>
                <w:sz w:val="19"/>
              </w:rPr>
              <w:t>Uncertainty display</w:t>
            </w:r>
          </w:p>
        </w:tc>
        <w:tc>
          <w:tcPr>
            <w:tcW w:type="dxa" w:w="2494"/>
            <w:vAlign w:val="center"/>
            <w:tcBorders>
              <w:bottom w:val="single" w:sz="4"/>
            </w:tcBorders>
          </w:tcPr>
          <w:p>
            <w:pPr>
              <w:keepNext/>
              <w:spacing w:before="0" w:after="80" w:line="254" w:lineRule="auto"/>
            </w:pPr>
            <w:r>
              <w:rPr>
                <w:rFonts w:ascii="Times New Roman" w:hAnsi="Times New Roman"/>
                <w:b/>
                <w:sz w:val="19"/>
              </w:rPr>
              <w:t>Interpretation</w:t>
            </w:r>
          </w:p>
        </w:tc>
      </w:tr>
      <w:tr>
        <w:trPr>
          <w:cantSplit/>
        </w:trPr>
        <w:tc>
          <w:tcPr>
            <w:tcW w:type="dxa" w:w="1814"/>
            <w:vAlign w:val="center"/>
          </w:tcPr>
          <w:p>
            <w:pPr>
              <w:keepNext/>
              <w:spacing w:before="0" w:after="80" w:line="254" w:lineRule="auto"/>
            </w:pPr>
            <w:r>
              <w:rPr>
                <w:rFonts w:ascii="Times New Roman" w:hAnsi="Times New Roman"/>
                <w:b w:val="0"/>
                <w:sz w:val="19"/>
              </w:rPr>
              <w:t>Historical pooled relation</w:t>
            </w:r>
          </w:p>
        </w:tc>
        <w:tc>
          <w:tcPr>
            <w:tcW w:type="dxa" w:w="2438"/>
            <w:vAlign w:val="center"/>
          </w:tcPr>
          <w:p>
            <w:pPr>
              <w:keepNext/>
              <w:spacing w:before="0" w:after="80" w:line="254" w:lineRule="auto"/>
            </w:pPr>
            <w:r>
              <w:rPr>
                <w:rFonts w:ascii="Times New Roman" w:hAnsi="Times New Roman"/>
                <w:b w:val="0"/>
                <w:sz w:val="19"/>
              </w:rPr>
              <w:t>Slope and residual correlation</w:t>
            </w:r>
          </w:p>
        </w:tc>
        <w:tc>
          <w:tcPr>
            <w:tcW w:type="dxa" w:w="2551"/>
            <w:vAlign w:val="center"/>
          </w:tcPr>
          <w:p>
            <w:pPr>
              <w:keepNext/>
              <w:spacing w:before="0" w:after="80" w:line="254" w:lineRule="auto"/>
            </w:pPr>
            <w:r>
              <w:rPr>
                <w:rFonts w:ascii="Times New Roman" w:hAnsi="Times New Roman"/>
                <w:b w:val="0"/>
                <w:sz w:val="19"/>
              </w:rPr>
              <w:t>Exploratory 95% month-block intervals</w:t>
            </w:r>
          </w:p>
        </w:tc>
        <w:tc>
          <w:tcPr>
            <w:tcW w:type="dxa" w:w="2494"/>
            <w:vAlign w:val="center"/>
          </w:tcPr>
          <w:p>
            <w:pPr>
              <w:keepNext/>
              <w:spacing w:before="0" w:after="80" w:line="254" w:lineRule="auto"/>
            </w:pPr>
            <w:r>
              <w:rPr>
                <w:rFonts w:ascii="Times New Roman" w:hAnsi="Times New Roman"/>
                <w:b w:val="0"/>
                <w:sz w:val="19"/>
              </w:rPr>
              <w:t>Within-sample conditional association</w:t>
            </w:r>
          </w:p>
        </w:tc>
      </w:tr>
      <w:tr>
        <w:trPr>
          <w:cantSplit/>
        </w:trPr>
        <w:tc>
          <w:tcPr>
            <w:tcW w:type="dxa" w:w="1814"/>
            <w:vAlign w:val="center"/>
          </w:tcPr>
          <w:p>
            <w:pPr>
              <w:keepNext/>
              <w:spacing w:before="0" w:after="80" w:line="254" w:lineRule="auto"/>
            </w:pPr>
            <w:r>
              <w:rPr>
                <w:rFonts w:ascii="Times New Roman" w:hAnsi="Times New Roman"/>
                <w:b w:val="0"/>
                <w:sz w:val="19"/>
              </w:rPr>
              <w:t>Historical period contrast</w:t>
            </w:r>
          </w:p>
        </w:tc>
        <w:tc>
          <w:tcPr>
            <w:tcW w:type="dxa" w:w="2438"/>
            <w:vAlign w:val="center"/>
          </w:tcPr>
          <w:p>
            <w:pPr>
              <w:keepNext/>
              <w:spacing w:before="0" w:after="80" w:line="254" w:lineRule="auto"/>
            </w:pPr>
            <w:r>
              <w:rPr>
                <w:rFonts w:ascii="Times New Roman" w:hAnsi="Times New Roman"/>
                <w:b w:val="0"/>
                <w:sz w:val="19"/>
              </w:rPr>
              <w:t>Primary slope difference; secondary correlation difference</w:t>
            </w:r>
          </w:p>
        </w:tc>
        <w:tc>
          <w:tcPr>
            <w:tcW w:type="dxa" w:w="2551"/>
            <w:vAlign w:val="center"/>
          </w:tcPr>
          <w:p>
            <w:pPr>
              <w:keepNext/>
              <w:spacing w:before="0" w:after="80" w:line="254" w:lineRule="auto"/>
            </w:pPr>
            <w:r>
              <w:rPr>
                <w:rFonts w:ascii="Times New Roman" w:hAnsi="Times New Roman"/>
                <w:b w:val="0"/>
                <w:sz w:val="19"/>
              </w:rPr>
              <w:t>97.5% slope intervals; 95% correlation intervals</w:t>
            </w:r>
          </w:p>
        </w:tc>
        <w:tc>
          <w:tcPr>
            <w:tcW w:type="dxa" w:w="2494"/>
            <w:vAlign w:val="center"/>
          </w:tcPr>
          <w:p>
            <w:pPr>
              <w:keepNext/>
              <w:spacing w:before="0" w:after="80" w:line="254" w:lineRule="auto"/>
            </w:pPr>
            <w:r>
              <w:rPr>
                <w:rFonts w:ascii="Times New Roman" w:hAnsi="Times New Roman"/>
                <w:b w:val="0"/>
                <w:sz w:val="19"/>
              </w:rPr>
              <w:t>Separate estimands; neither proves policy causality</w:t>
            </w:r>
          </w:p>
        </w:tc>
      </w:tr>
      <w:tr>
        <w:trPr>
          <w:cantSplit/>
        </w:trPr>
        <w:tc>
          <w:tcPr>
            <w:tcW w:type="dxa" w:w="1814"/>
            <w:vAlign w:val="center"/>
          </w:tcPr>
          <w:p>
            <w:pPr>
              <w:keepNext/>
              <w:spacing w:before="0" w:after="80" w:line="254" w:lineRule="auto"/>
            </w:pPr>
            <w:r>
              <w:rPr>
                <w:rFonts w:ascii="Times New Roman" w:hAnsi="Times New Roman"/>
                <w:b w:val="0"/>
                <w:sz w:val="19"/>
              </w:rPr>
              <w:t>Composition sensitivity</w:t>
            </w:r>
          </w:p>
        </w:tc>
        <w:tc>
          <w:tcPr>
            <w:tcW w:type="dxa" w:w="2438"/>
            <w:vAlign w:val="center"/>
          </w:tcPr>
          <w:p>
            <w:pPr>
              <w:keepNext/>
              <w:spacing w:before="0" w:after="80" w:line="254" w:lineRule="auto"/>
            </w:pPr>
            <w:r>
              <w:rPr>
                <w:rFonts w:ascii="Times New Roman" w:hAnsi="Times New Roman"/>
                <w:b w:val="0"/>
                <w:sz w:val="19"/>
              </w:rPr>
              <w:t>Weighted correlation difference</w:t>
            </w:r>
          </w:p>
        </w:tc>
        <w:tc>
          <w:tcPr>
            <w:tcW w:type="dxa" w:w="2551"/>
            <w:vAlign w:val="center"/>
          </w:tcPr>
          <w:p>
            <w:pPr>
              <w:keepNext/>
              <w:spacing w:before="0" w:after="80" w:line="254" w:lineRule="auto"/>
            </w:pPr>
            <w:r>
              <w:rPr>
                <w:rFonts w:ascii="Times New Roman" w:hAnsi="Times New Roman"/>
                <w:b w:val="0"/>
                <w:sz w:val="19"/>
              </w:rPr>
              <w:t>Exploratory 97.5% intervals; 95% paired-change intervals</w:t>
            </w:r>
          </w:p>
        </w:tc>
        <w:tc>
          <w:tcPr>
            <w:tcW w:type="dxa" w:w="2494"/>
            <w:vAlign w:val="center"/>
          </w:tcPr>
          <w:p>
            <w:pPr>
              <w:keepNext/>
              <w:spacing w:before="0" w:after="80" w:line="254" w:lineRule="auto"/>
            </w:pPr>
            <w:r>
              <w:rPr>
                <w:rFonts w:ascii="Times New Roman" w:hAnsi="Times New Roman"/>
                <w:b w:val="0"/>
                <w:sz w:val="19"/>
              </w:rPr>
              <w:t>Selected-moment comparison; incomplete volume-distribution balance</w:t>
            </w:r>
          </w:p>
        </w:tc>
      </w:tr>
      <w:tr>
        <w:trPr>
          <w:cantSplit/>
        </w:trPr>
        <w:tc>
          <w:tcPr>
            <w:tcW w:type="dxa" w:w="1814"/>
            <w:vAlign w:val="center"/>
          </w:tcPr>
          <w:p>
            <w:pPr>
              <w:keepNext/>
              <w:spacing w:before="0" w:after="80" w:line="254" w:lineRule="auto"/>
            </w:pPr>
            <w:r>
              <w:rPr>
                <w:rFonts w:ascii="Times New Roman" w:hAnsi="Times New Roman"/>
                <w:b w:val="0"/>
                <w:sz w:val="19"/>
              </w:rPr>
              <w:t>Additional 2026 period</w:t>
            </w:r>
          </w:p>
        </w:tc>
        <w:tc>
          <w:tcPr>
            <w:tcW w:type="dxa" w:w="2438"/>
            <w:vAlign w:val="center"/>
          </w:tcPr>
          <w:p>
            <w:pPr>
              <w:keepNext/>
              <w:spacing w:before="0" w:after="80" w:line="254" w:lineRule="auto"/>
            </w:pPr>
            <w:r>
              <w:rPr>
                <w:rFonts w:ascii="Times New Roman" w:hAnsi="Times New Roman"/>
                <w:b w:val="0"/>
                <w:sz w:val="19"/>
              </w:rPr>
              <w:t>Re-estimated slope and correlation</w:t>
            </w:r>
          </w:p>
        </w:tc>
        <w:tc>
          <w:tcPr>
            <w:tcW w:type="dxa" w:w="2551"/>
            <w:vAlign w:val="center"/>
          </w:tcPr>
          <w:p>
            <w:pPr>
              <w:keepNext/>
              <w:spacing w:before="0" w:after="80" w:line="254" w:lineRule="auto"/>
            </w:pPr>
            <w:r>
              <w:rPr>
                <w:rFonts w:ascii="Times New Roman" w:hAnsi="Times New Roman"/>
                <w:b w:val="0"/>
                <w:sz w:val="19"/>
              </w:rPr>
              <w:t>Nine-month diagnostics; finite percentile and deletion ranges</w:t>
            </w:r>
          </w:p>
        </w:tc>
        <w:tc>
          <w:tcPr>
            <w:tcW w:type="dxa" w:w="2494"/>
            <w:vAlign w:val="center"/>
          </w:tcPr>
          <w:p>
            <w:pPr>
              <w:keepNext/>
              <w:spacing w:before="0" w:after="80" w:line="254" w:lineRule="auto"/>
            </w:pPr>
            <w:r>
              <w:rPr>
                <w:rFonts w:ascii="Times New Roman" w:hAnsi="Times New Roman"/>
                <w:b w:val="0"/>
                <w:sz w:val="19"/>
              </w:rPr>
              <w:t>New-time description, not a frozen-model forecast</w:t>
            </w:r>
          </w:p>
        </w:tc>
      </w:tr>
      <w:tr>
        <w:trPr>
          <w:cantSplit/>
        </w:trPr>
        <w:tc>
          <w:tcPr>
            <w:tcW w:type="dxa" w:w="1814"/>
            <w:vAlign w:val="center"/>
          </w:tcPr>
          <w:p>
            <w:pPr>
              <w:keepNext/>
              <w:spacing w:before="0" w:after="80" w:line="254" w:lineRule="auto"/>
            </w:pPr>
            <w:r>
              <w:rPr>
                <w:rFonts w:ascii="Times New Roman" w:hAnsi="Times New Roman"/>
                <w:b w:val="0"/>
                <w:sz w:val="19"/>
              </w:rPr>
              <w:t>External price relation</w:t>
            </w:r>
          </w:p>
        </w:tc>
        <w:tc>
          <w:tcPr>
            <w:tcW w:type="dxa" w:w="2438"/>
            <w:vAlign w:val="center"/>
          </w:tcPr>
          <w:p>
            <w:pPr>
              <w:keepNext/>
              <w:spacing w:before="0" w:after="80" w:line="254" w:lineRule="auto"/>
            </w:pPr>
            <w:r>
              <w:rPr>
                <w:rFonts w:ascii="Times New Roman" w:hAnsi="Times New Roman"/>
                <w:b w:val="0"/>
                <w:sz w:val="19"/>
              </w:rPr>
              <w:t>Not estimated</w:t>
            </w:r>
          </w:p>
        </w:tc>
        <w:tc>
          <w:tcPr>
            <w:tcW w:type="dxa" w:w="2551"/>
            <w:vAlign w:val="center"/>
          </w:tcPr>
          <w:p>
            <w:pPr>
              <w:keepNext/>
              <w:spacing w:before="0" w:after="80" w:line="254" w:lineRule="auto"/>
            </w:pPr>
            <w:r>
              <w:rPr>
                <w:rFonts w:ascii="Times New Roman" w:hAnsi="Times New Roman"/>
                <w:b w:val="0"/>
                <w:sz w:val="19"/>
              </w:rPr>
              <w:t>No eligible auction-level reference series</w:t>
            </w:r>
          </w:p>
        </w:tc>
        <w:tc>
          <w:tcPr>
            <w:tcW w:type="dxa" w:w="2494"/>
            <w:vAlign w:val="center"/>
          </w:tcPr>
          <w:p>
            <w:pPr>
              <w:keepNext/>
              <w:spacing w:before="0" w:after="80" w:line="254" w:lineRule="auto"/>
            </w:pPr>
            <w:r>
              <w:rPr>
                <w:rFonts w:ascii="Times New Roman" w:hAnsi="Times New Roman"/>
                <w:b w:val="0"/>
                <w:sz w:val="19"/>
              </w:rPr>
              <w:t>Missing validation, not a null result</w:t>
            </w:r>
          </w:p>
        </w:tc>
      </w:tr>
    </w:tbl>
    <w:p>
      <w:pPr>
        <w:keepLines/>
      </w:pPr>
      <w:r>
        <w:rPr>
          <w:sz w:val="19"/>
        </w:rPr>
        <w:t>Note: Each interval family is conditional on its approximation. No procedure adjusts the complete historical specification search, and exact enumeration does not give exact frequentist coverage. The price extension has no estimates. This table adds no statistical test.</w:t>
      </w:r>
    </w:p>
    <w:p>
      <w:pPr>
        <w:pStyle w:val="Heading3"/>
        <w:widowControl/>
      </w:pPr>
      <w:r>
        <w:t>Additional references</w:t>
      </w:r>
    </w:p>
    <w:p>
      <w:pPr>
        <w:pStyle w:val="BodyText"/>
        <w:widowControl/>
      </w:pPr>
      <w: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pPr>
      <w:r>
        <w:t>Li F, Morgan KL, Zaslavsky AM (2018) Balancing covariates via propensity score weighting. Journal of the American Statistical Association 113:390–400. https://doi.org/10.1080/01621459.2016.1260466</w:t>
      </w:r>
    </w:p>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Zhongfei Tian; Xiang Wang</dc:creator>
  <cp:keywords>EUA; auctions; quantity dispersion; conditional association</cp:keywords>
  <dcterms:created xsi:type="dcterms:W3CDTF">2026-10-10T00:00:00Z</dcterms:created>
  <dcterms:modified xsi:type="dcterms:W3CDTF">2026-10-10T00:00:00Z</dcterms:modified>
  <cp:lastModifiedBy/>
  <dc:subject>Author-review v8; frozen numerical evidence; no new estimation</dc:subject>
  <dc:description>Funding absence and preceding Wang review recorded; unresolved declarations retained.</dc:description>
</cp:coreProperties>
</file>

<file path=docProps/custom.xml><?xml version="1.0" encoding="utf-8"?>
<Properties xmlns="http://schemas.openxmlformats.org/officeDocument/2006/custom-properties" xmlns:vt="http://schemas.openxmlformats.org/officeDocument/2006/docPropsVTypes"/>
</file>